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56873" w14:textId="1FB7F6F4" w:rsidR="00FD0711" w:rsidRPr="00815C58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E6DA6F4" w14:textId="30D4C4A2" w:rsidR="00D71595" w:rsidRPr="00815C58" w:rsidRDefault="00533847" w:rsidP="00BE54B8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33847">
        <w:rPr>
          <w:rFonts w:ascii="Times New Roman" w:hAnsi="Times New Roman"/>
          <w:b/>
          <w:caps/>
          <w:sz w:val="24"/>
          <w:szCs w:val="24"/>
        </w:rPr>
        <w:t>psiho</w:t>
      </w:r>
      <w:r w:rsidR="00F82048">
        <w:rPr>
          <w:rFonts w:ascii="Times New Roman" w:hAnsi="Times New Roman"/>
          <w:b/>
          <w:caps/>
          <w:sz w:val="24"/>
          <w:szCs w:val="24"/>
        </w:rPr>
        <w:t xml:space="preserve">LOGIA EDUCAȚIEI </w:t>
      </w:r>
      <w:r w:rsidR="00BA7CC6">
        <w:rPr>
          <w:rFonts w:ascii="Times New Roman" w:hAnsi="Times New Roman"/>
          <w:b/>
          <w:caps/>
          <w:sz w:val="24"/>
          <w:szCs w:val="24"/>
        </w:rPr>
        <w:t>2025-2026</w:t>
      </w:r>
    </w:p>
    <w:p w14:paraId="05E4ACEB" w14:textId="55FAE41C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  <w:r w:rsidR="00850EF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032DD1">
        <w:trPr>
          <w:trHeight w:val="496"/>
        </w:trPr>
        <w:tc>
          <w:tcPr>
            <w:tcW w:w="3823" w:type="dxa"/>
          </w:tcPr>
          <w:p w14:paraId="30CA5C22" w14:textId="51A50FB8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="00850EF4" w:rsidRP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14:paraId="5E3D56FF" w14:textId="18B93750" w:rsidR="00FD0711" w:rsidRPr="00673B71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="00D00A03" w:rsidRPr="00673B71">
              <w:rPr>
                <w:sz w:val="24"/>
                <w:szCs w:val="24"/>
              </w:rPr>
              <w:t xml:space="preserve">/ </w:t>
            </w:r>
            <w:r w:rsidR="00673B71" w:rsidRPr="00673B71">
              <w:rPr>
                <w:sz w:val="24"/>
                <w:szCs w:val="24"/>
              </w:rPr>
              <w:t>Centrul Universitar Pitești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15BB22CA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AE9DBFF" w:rsidR="00FD0711" w:rsidRPr="00F010FE" w:rsidRDefault="0063353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Facultatea de Ştiinţe ale Educației, Științe Sociale și Psihologie</w:t>
            </w:r>
          </w:p>
        </w:tc>
      </w:tr>
      <w:tr w:rsidR="00C57418" w:rsidRPr="00C116E4" w14:paraId="574A0553" w14:textId="77777777" w:rsidTr="004F426F">
        <w:tc>
          <w:tcPr>
            <w:tcW w:w="3823" w:type="dxa"/>
          </w:tcPr>
          <w:p w14:paraId="6B93773D" w14:textId="6FA1D30C" w:rsidR="00C57418" w:rsidRPr="00850EF4" w:rsidRDefault="00C57418" w:rsidP="00C57418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5126D639" w:rsidR="00C57418" w:rsidRPr="00F010FE" w:rsidRDefault="00C57418" w:rsidP="00C57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="001F4DF5" w:rsidRPr="00C116E4" w14:paraId="56B65CAC" w14:textId="77777777" w:rsidTr="004F426F">
        <w:tc>
          <w:tcPr>
            <w:tcW w:w="3823" w:type="dxa"/>
          </w:tcPr>
          <w:p w14:paraId="4DBB2F4C" w14:textId="17651D53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211250E6" w14:textId="7895D75C" w:rsidR="001F4DF5" w:rsidRPr="00364C75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Ştiinţe ale Educaţiei </w:t>
            </w:r>
          </w:p>
        </w:tc>
      </w:tr>
      <w:tr w:rsidR="001F4DF5" w:rsidRPr="00C116E4" w14:paraId="06D8832E" w14:textId="77777777" w:rsidTr="004F426F">
        <w:tc>
          <w:tcPr>
            <w:tcW w:w="3823" w:type="dxa"/>
          </w:tcPr>
          <w:p w14:paraId="45BF625A" w14:textId="64CEC4A6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46DCFE0F" w:rsidR="001F4DF5" w:rsidRPr="00F010FE" w:rsidRDefault="00A64E8A" w:rsidP="00600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="001F4DF5" w:rsidRPr="00C116E4" w14:paraId="364B4DCD" w14:textId="77777777" w:rsidTr="004F426F">
        <w:tc>
          <w:tcPr>
            <w:tcW w:w="3823" w:type="dxa"/>
          </w:tcPr>
          <w:p w14:paraId="2D0E1983" w14:textId="1B044C64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563BFC08" w:rsidR="001F4DF5" w:rsidRPr="00364C75" w:rsidRDefault="00421BC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="001F4DF5" w:rsidRPr="00C116E4" w14:paraId="456B9D7C" w14:textId="77777777" w:rsidTr="004F426F">
        <w:tc>
          <w:tcPr>
            <w:tcW w:w="3823" w:type="dxa"/>
          </w:tcPr>
          <w:p w14:paraId="78642FEF" w14:textId="2905D49C" w:rsidR="001F4DF5" w:rsidRPr="00C116E4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14:paraId="368FCB00" w14:textId="020F6A5F" w:rsidR="001F4DF5" w:rsidRPr="00364C75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="001F4DF5" w:rsidRPr="00C116E4" w14:paraId="375B37EE" w14:textId="77777777" w:rsidTr="004F426F">
        <w:tc>
          <w:tcPr>
            <w:tcW w:w="3823" w:type="dxa"/>
          </w:tcPr>
          <w:p w14:paraId="62A6CD0E" w14:textId="04F1D0CE" w:rsidR="001F4DF5" w:rsidRDefault="001F4DF5" w:rsidP="001F4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14:paraId="34157CA3" w14:textId="7FCA629C" w:rsidR="001F4DF5" w:rsidRPr="00F010FE" w:rsidRDefault="00421BC5" w:rsidP="00F82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Câmpulung</w:t>
            </w:r>
            <w:r w:rsidR="00032DD1">
              <w:rPr>
                <w:rFonts w:ascii="Times New Roman" w:hAnsi="Times New Roman"/>
                <w:sz w:val="24"/>
                <w:szCs w:val="24"/>
              </w:rPr>
              <w:t>/Râmnicu Vâlcea</w:t>
            </w:r>
          </w:p>
        </w:tc>
      </w:tr>
    </w:tbl>
    <w:p w14:paraId="2598DE8A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49E27FA" w14:textId="150DDD3E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26"/>
        <w:gridCol w:w="59"/>
        <w:gridCol w:w="2067"/>
        <w:gridCol w:w="425"/>
        <w:gridCol w:w="2327"/>
        <w:gridCol w:w="737"/>
      </w:tblGrid>
      <w:tr w:rsidR="00FD0711" w:rsidRPr="0007194F" w14:paraId="57E36C1D" w14:textId="77777777" w:rsidTr="005D3FE5">
        <w:tc>
          <w:tcPr>
            <w:tcW w:w="2846" w:type="dxa"/>
            <w:gridSpan w:val="3"/>
          </w:tcPr>
          <w:p w14:paraId="61BD6346" w14:textId="49EC514A" w:rsidR="00532F3D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</w:tcPr>
          <w:p w14:paraId="3996590F" w14:textId="65B2DCC3" w:rsidR="001F003F" w:rsidRPr="00CF66B7" w:rsidRDefault="00533847" w:rsidP="00BE54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847">
              <w:rPr>
                <w:rFonts w:ascii="Times New Roman" w:hAnsi="Times New Roman"/>
                <w:sz w:val="24"/>
                <w:szCs w:val="24"/>
              </w:rPr>
              <w:t>Fundamentele psihopedagogiei speciale</w:t>
            </w:r>
          </w:p>
        </w:tc>
      </w:tr>
      <w:tr w:rsidR="00FD0711" w:rsidRPr="0007194F" w14:paraId="3B211D2A" w14:textId="77777777" w:rsidTr="005D3FE5">
        <w:tc>
          <w:tcPr>
            <w:tcW w:w="4449" w:type="dxa"/>
            <w:gridSpan w:val="6"/>
          </w:tcPr>
          <w:p w14:paraId="4AB7824E" w14:textId="7BD09FF2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4"/>
          </w:tcPr>
          <w:p w14:paraId="7D0EC825" w14:textId="13517528" w:rsidR="00FD0711" w:rsidRPr="0007194F" w:rsidRDefault="00032DD1" w:rsidP="00F82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Ionescu Eduard </w:t>
            </w:r>
          </w:p>
        </w:tc>
      </w:tr>
      <w:tr w:rsidR="00032DD1" w:rsidRPr="0007194F" w14:paraId="4C0392E2" w14:textId="77777777" w:rsidTr="005D3FE5">
        <w:tc>
          <w:tcPr>
            <w:tcW w:w="4449" w:type="dxa"/>
            <w:gridSpan w:val="6"/>
          </w:tcPr>
          <w:p w14:paraId="0068B97D" w14:textId="3A6A457F" w:rsidR="00032DD1" w:rsidRPr="00085094" w:rsidRDefault="00032DD1" w:rsidP="00032DD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</w:t>
            </w:r>
          </w:p>
        </w:tc>
        <w:tc>
          <w:tcPr>
            <w:tcW w:w="5556" w:type="dxa"/>
            <w:gridSpan w:val="4"/>
          </w:tcPr>
          <w:p w14:paraId="4CA0B319" w14:textId="37083601" w:rsidR="00032DD1" w:rsidRPr="0007194F" w:rsidRDefault="00032DD1" w:rsidP="00F82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Ionescu Eduard </w:t>
            </w:r>
          </w:p>
        </w:tc>
      </w:tr>
      <w:tr w:rsidR="00032DD1" w:rsidRPr="0007194F" w14:paraId="3BE3C0BE" w14:textId="77777777" w:rsidTr="00F82048">
        <w:tc>
          <w:tcPr>
            <w:tcW w:w="1980" w:type="dxa"/>
          </w:tcPr>
          <w:p w14:paraId="4026D74C" w14:textId="0418117D" w:rsidR="00032DD1" w:rsidRPr="00251256" w:rsidRDefault="00032DD1" w:rsidP="00032DD1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</w:tcPr>
          <w:p w14:paraId="2D1E475E" w14:textId="5B550637" w:rsidR="00032DD1" w:rsidRPr="00251256" w:rsidRDefault="00533847" w:rsidP="0003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14:paraId="7DA4A2EF" w14:textId="73C00FA9" w:rsidR="00032DD1" w:rsidRPr="00251256" w:rsidRDefault="00032DD1" w:rsidP="00032DD1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426" w:type="dxa"/>
          </w:tcPr>
          <w:p w14:paraId="300B9719" w14:textId="74ED6816" w:rsidR="00032DD1" w:rsidRPr="00251256" w:rsidRDefault="00C82769" w:rsidP="0003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F82048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6" w:type="dxa"/>
            <w:gridSpan w:val="2"/>
          </w:tcPr>
          <w:p w14:paraId="47B05FB1" w14:textId="574F9815" w:rsidR="00032DD1" w:rsidRPr="00251256" w:rsidRDefault="00032DD1" w:rsidP="00032DD1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</w:tcPr>
          <w:p w14:paraId="5453D953" w14:textId="42076A1B" w:rsidR="00032DD1" w:rsidRPr="00251256" w:rsidRDefault="00533847" w:rsidP="0003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27" w:type="dxa"/>
          </w:tcPr>
          <w:p w14:paraId="2FC51EB1" w14:textId="2A25B344" w:rsidR="00032DD1" w:rsidRPr="00251256" w:rsidRDefault="00032DD1" w:rsidP="00032DD1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737" w:type="dxa"/>
          </w:tcPr>
          <w:p w14:paraId="38374877" w14:textId="4A8EC82A" w:rsidR="00032DD1" w:rsidRPr="00251256" w:rsidRDefault="00032DD1" w:rsidP="0003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O</w:t>
            </w:r>
            <w:r w:rsidR="00533847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</w:tr>
      <w:tr w:rsidR="00032DD1" w:rsidRPr="00C116E4" w14:paraId="14E46E6F" w14:textId="24CDA01A" w:rsidTr="005D3FE5">
        <w:trPr>
          <w:trHeight w:val="179"/>
        </w:trPr>
        <w:tc>
          <w:tcPr>
            <w:tcW w:w="2547" w:type="dxa"/>
            <w:gridSpan w:val="2"/>
          </w:tcPr>
          <w:p w14:paraId="2B6605C0" w14:textId="52FB8177" w:rsidR="00032DD1" w:rsidRPr="00251256" w:rsidRDefault="00032DD1" w:rsidP="00032DD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</w:tcPr>
          <w:p w14:paraId="03F77098" w14:textId="0AA4BE26" w:rsidR="00032DD1" w:rsidRPr="00251256" w:rsidRDefault="00DC5E45" w:rsidP="00032DD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2552" w:type="dxa"/>
            <w:gridSpan w:val="3"/>
          </w:tcPr>
          <w:p w14:paraId="46A72287" w14:textId="04C4CAD4" w:rsidR="00032DD1" w:rsidRPr="00251256" w:rsidRDefault="00032DD1" w:rsidP="00032DD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489" w:type="dxa"/>
            <w:gridSpan w:val="3"/>
          </w:tcPr>
          <w:p w14:paraId="7F83CE32" w14:textId="77C252BF" w:rsidR="00032DD1" w:rsidRPr="00251256" w:rsidRDefault="00032DD1" w:rsidP="00F82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466A500C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="00FD0711" w:rsidRPr="0007194F" w14:paraId="02F8C437" w14:textId="77777777" w:rsidTr="00CF66B7">
        <w:tc>
          <w:tcPr>
            <w:tcW w:w="3681" w:type="dxa"/>
          </w:tcPr>
          <w:p w14:paraId="1DC014CD" w14:textId="778DAA35" w:rsidR="00FD0711" w:rsidRPr="0013302B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14:paraId="6CEAB724" w14:textId="56A7138F" w:rsidR="00FD0711" w:rsidRPr="0007194F" w:rsidRDefault="00CF66B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14:paraId="0380C28A" w14:textId="5129CA8A" w:rsidR="00FD0711" w:rsidRPr="0007194F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13302B" w:rsidRP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14:paraId="7DB3CF51" w14:textId="1F3ACC14" w:rsidR="00FD0711" w:rsidRPr="0007194F" w:rsidRDefault="00CF66B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1" w:type="dxa"/>
          </w:tcPr>
          <w:p w14:paraId="7625568D" w14:textId="0F9E7BA5" w:rsidR="00FD0711" w:rsidRPr="0007194F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14:paraId="11765071" w14:textId="697BD940" w:rsidR="00FD0711" w:rsidRPr="0007194F" w:rsidRDefault="00CF66B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711" w:rsidRPr="0007194F" w14:paraId="5F470B7C" w14:textId="77777777" w:rsidTr="00CF66B7">
        <w:tc>
          <w:tcPr>
            <w:tcW w:w="3681" w:type="dxa"/>
            <w:shd w:val="clear" w:color="auto" w:fill="D9D9D9"/>
          </w:tcPr>
          <w:p w14:paraId="1C8C1832" w14:textId="35FB0357" w:rsidR="00FD0711" w:rsidRPr="0007194F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14:paraId="45890212" w14:textId="3D984C66" w:rsidR="00FD0711" w:rsidRPr="0007194F" w:rsidRDefault="00D21758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  <w:gridSpan w:val="2"/>
            <w:shd w:val="clear" w:color="auto" w:fill="D9D9D9"/>
          </w:tcPr>
          <w:p w14:paraId="34213718" w14:textId="390B558A" w:rsidR="00FD0711" w:rsidRPr="0007194F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C62788" w:rsidRP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14:paraId="794B634A" w14:textId="2E7A274B" w:rsidR="00FD0711" w:rsidRPr="0007194F" w:rsidRDefault="00D21758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71" w:type="dxa"/>
            <w:shd w:val="clear" w:color="auto" w:fill="D9D9D9"/>
          </w:tcPr>
          <w:p w14:paraId="5C2D0A56" w14:textId="02DD5A97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14:paraId="46F27A35" w14:textId="1A8B9B2C" w:rsidR="00FD0711" w:rsidRPr="0007194F" w:rsidRDefault="0052418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6"/>
          </w:tcPr>
          <w:p w14:paraId="439071C8" w14:textId="7C0F0A2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6"/>
          </w:tcPr>
          <w:p w14:paraId="53E38389" w14:textId="1B399FDF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A39FD54" w14:textId="0CB6E670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71F33740" w:rsidR="0065472F" w:rsidRPr="00D85A8D" w:rsidRDefault="0065472F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7A50FBCD" w14:textId="77777777" w:rsidR="00D42E3A" w:rsidRDefault="00D21758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6167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298F5575" w14:textId="77777777" w:rsidR="00D21758" w:rsidRDefault="00D21758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34001936" w14:textId="39D76BB2" w:rsidR="00D21758" w:rsidRPr="0007194F" w:rsidRDefault="009F6F4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6"/>
          </w:tcPr>
          <w:p w14:paraId="7C066D2C" w14:textId="70750485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1C9F18C6" w:rsidR="00FD0711" w:rsidRPr="0007194F" w:rsidRDefault="009F6F4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6"/>
          </w:tcPr>
          <w:p w14:paraId="45BECD94" w14:textId="56F95CA0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43E19057" w14:textId="1E862E43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92B" w:rsidRPr="0007194F" w14:paraId="23FA439D" w14:textId="77777777" w:rsidTr="002812A5">
        <w:tc>
          <w:tcPr>
            <w:tcW w:w="9470" w:type="dxa"/>
            <w:gridSpan w:val="6"/>
          </w:tcPr>
          <w:p w14:paraId="51A6CC95" w14:textId="6B59E40E" w:rsidR="00A8092B" w:rsidRPr="00301FF6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F26AEBF" w:rsidR="00A8092B" w:rsidRPr="00301FF6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711" w:rsidRPr="003B3669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1D6A5657" w:rsidR="00FD0711" w:rsidRPr="003B3669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14:paraId="50E327D1" w14:textId="24056738" w:rsidR="00FD0711" w:rsidRPr="003B3669" w:rsidRDefault="00D21758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</w:tr>
      <w:tr w:rsidR="00FD0711" w:rsidRPr="003B3669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2B6C6CD5" w:rsidR="00FD0711" w:rsidRPr="003B3669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14:paraId="0E134E17" w14:textId="297F6644" w:rsidR="00FD0711" w:rsidRPr="003B3669" w:rsidRDefault="007703F5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7E1C337A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14:paraId="32F2FDA1" w14:textId="69385CC4" w:rsidR="00FD0711" w:rsidRPr="007F393B" w:rsidRDefault="00DC5E45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14:paraId="2A35A16B" w14:textId="77777777" w:rsidR="00921D53" w:rsidRDefault="00921D53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3BAB0041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B609FA" w14:paraId="1D7E0122" w14:textId="77777777" w:rsidTr="005D3FE5">
        <w:tc>
          <w:tcPr>
            <w:tcW w:w="2405" w:type="dxa"/>
          </w:tcPr>
          <w:p w14:paraId="18C0980C" w14:textId="5FA1F09F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8051" w:type="dxa"/>
          </w:tcPr>
          <w:p w14:paraId="2F95B643" w14:textId="10533048" w:rsidR="00B609FA" w:rsidRPr="00DA522E" w:rsidRDefault="00B91C89" w:rsidP="005001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C89">
              <w:rPr>
                <w:rFonts w:ascii="Times New Roman" w:hAnsi="Times New Roman"/>
                <w:sz w:val="24"/>
                <w:szCs w:val="24"/>
              </w:rPr>
              <w:t>Pentru a urma disciplina „</w:t>
            </w:r>
            <w:r w:rsidR="00135C3A">
              <w:rPr>
                <w:rFonts w:ascii="Times New Roman" w:hAnsi="Times New Roman"/>
                <w:sz w:val="24"/>
                <w:szCs w:val="24"/>
              </w:rPr>
              <w:t xml:space="preserve">Psihologia </w:t>
            </w:r>
            <w:r w:rsidR="00500159">
              <w:rPr>
                <w:rFonts w:ascii="Times New Roman" w:hAnsi="Times New Roman"/>
                <w:sz w:val="24"/>
                <w:szCs w:val="24"/>
              </w:rPr>
              <w:t>E</w:t>
            </w:r>
            <w:bookmarkStart w:id="0" w:name="_GoBack"/>
            <w:bookmarkEnd w:id="0"/>
            <w:r w:rsidR="00135C3A">
              <w:rPr>
                <w:rFonts w:ascii="Times New Roman" w:hAnsi="Times New Roman"/>
                <w:sz w:val="24"/>
                <w:szCs w:val="24"/>
              </w:rPr>
              <w:t>ducatiei</w:t>
            </w:r>
            <w:r w:rsidRPr="00B91C89">
              <w:rPr>
                <w:rFonts w:ascii="Times New Roman" w:hAnsi="Times New Roman"/>
                <w:sz w:val="24"/>
                <w:szCs w:val="24"/>
              </w:rPr>
              <w:t xml:space="preserve">”, studenții trebuie să dețină cunoștințe generale de psihologie și pedagogie dobândite în anii anteriori de studiu. Este recomandat să fi parcurs discipline introductive în domeniul </w:t>
            </w:r>
            <w:r w:rsidRPr="00B91C89">
              <w:rPr>
                <w:rFonts w:ascii="Times New Roman" w:hAnsi="Times New Roman"/>
                <w:sz w:val="24"/>
                <w:szCs w:val="24"/>
              </w:rPr>
              <w:lastRenderedPageBreak/>
              <w:t>psihologiei dezvoltării</w:t>
            </w:r>
            <w:r w:rsidR="00135C3A">
              <w:rPr>
                <w:rFonts w:ascii="Times New Roman" w:hAnsi="Times New Roman"/>
                <w:sz w:val="24"/>
                <w:szCs w:val="24"/>
              </w:rPr>
              <w:t>, pedagogiei</w:t>
            </w:r>
            <w:r w:rsidRPr="00B91C89">
              <w:rPr>
                <w:rFonts w:ascii="Times New Roman" w:hAnsi="Times New Roman"/>
                <w:sz w:val="24"/>
                <w:szCs w:val="24"/>
              </w:rPr>
              <w:t xml:space="preserve"> și al psihopedagogiei, pentru a înțelege mai bine contextul teoretic și practic al int</w:t>
            </w:r>
            <w:r w:rsidR="00135C3A">
              <w:rPr>
                <w:rFonts w:ascii="Times New Roman" w:hAnsi="Times New Roman"/>
                <w:sz w:val="24"/>
                <w:szCs w:val="24"/>
              </w:rPr>
              <w:t>ervențiilor în psihologia educației</w:t>
            </w:r>
            <w:r w:rsidRPr="00B91C8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1C89">
              <w:rPr>
                <w:rFonts w:ascii="Times New Roman" w:hAnsi="Times New Roman"/>
                <w:sz w:val="24"/>
                <w:szCs w:val="24"/>
              </w:rPr>
              <w:t xml:space="preserve">De asemenea, este necesară o motivație și deschidere către învățarea conceptelor legate de </w:t>
            </w:r>
            <w:r w:rsidR="00135C3A">
              <w:rPr>
                <w:rFonts w:ascii="Times New Roman" w:hAnsi="Times New Roman"/>
                <w:sz w:val="24"/>
                <w:szCs w:val="24"/>
              </w:rPr>
              <w:t>dezvoltare psiho-fizică, învățare, personalitate, stilurile de învățare</w:t>
            </w:r>
            <w:r w:rsidRPr="00B91C89">
              <w:rPr>
                <w:rFonts w:ascii="Times New Roman" w:hAnsi="Times New Roman"/>
                <w:sz w:val="24"/>
                <w:szCs w:val="24"/>
              </w:rPr>
              <w:t>, pentru a putea valorifica pe deplin conținutul disciplinei și a se implica activ în activitățile practice și de cercetare.</w:t>
            </w:r>
          </w:p>
        </w:tc>
      </w:tr>
      <w:tr w:rsidR="00B609FA" w14:paraId="2114D3A9" w14:textId="77777777" w:rsidTr="005D3FE5">
        <w:tc>
          <w:tcPr>
            <w:tcW w:w="2405" w:type="dxa"/>
          </w:tcPr>
          <w:p w14:paraId="05FE3232" w14:textId="2ED8DEC1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8051" w:type="dxa"/>
          </w:tcPr>
          <w:p w14:paraId="53D7A64B" w14:textId="413A5B18" w:rsidR="0072399F" w:rsidRPr="0072399F" w:rsidRDefault="0072399F" w:rsidP="007239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99F">
              <w:rPr>
                <w:rFonts w:ascii="Times New Roman" w:hAnsi="Times New Roman"/>
                <w:sz w:val="24"/>
                <w:szCs w:val="24"/>
              </w:rPr>
              <w:t>Pentru a aborda cu succes disciplina „</w:t>
            </w:r>
            <w:r w:rsidR="00135C3A">
              <w:rPr>
                <w:rFonts w:ascii="Times New Roman" w:hAnsi="Times New Roman"/>
                <w:sz w:val="24"/>
                <w:szCs w:val="24"/>
              </w:rPr>
              <w:t xml:space="preserve">Psihologia </w:t>
            </w:r>
            <w:r w:rsidR="00500159">
              <w:rPr>
                <w:rFonts w:ascii="Times New Roman" w:hAnsi="Times New Roman"/>
                <w:sz w:val="24"/>
                <w:szCs w:val="24"/>
              </w:rPr>
              <w:t>E</w:t>
            </w:r>
            <w:r w:rsidR="00135C3A">
              <w:rPr>
                <w:rFonts w:ascii="Times New Roman" w:hAnsi="Times New Roman"/>
                <w:sz w:val="24"/>
                <w:szCs w:val="24"/>
              </w:rPr>
              <w:t>ducației</w:t>
            </w:r>
            <w:r w:rsidRPr="0072399F">
              <w:rPr>
                <w:rFonts w:ascii="Times New Roman" w:hAnsi="Times New Roman"/>
                <w:sz w:val="24"/>
                <w:szCs w:val="24"/>
              </w:rPr>
              <w:t>”, se presupune că studentul a dobândit anterior următoarele competențe și cunoștințe:</w:t>
            </w:r>
          </w:p>
          <w:p w14:paraId="006C1473" w14:textId="77777777" w:rsidR="0072399F" w:rsidRDefault="0072399F" w:rsidP="0072399F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99F">
              <w:rPr>
                <w:rFonts w:ascii="Times New Roman" w:hAnsi="Times New Roman"/>
                <w:sz w:val="24"/>
                <w:szCs w:val="24"/>
              </w:rPr>
              <w:t>Cunoștințe fundamentale de psihologie generală și psihologia dezvoltării copilului.</w:t>
            </w:r>
          </w:p>
          <w:p w14:paraId="57D6D99C" w14:textId="77777777" w:rsidR="0072399F" w:rsidRDefault="0072399F" w:rsidP="0072399F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99F">
              <w:rPr>
                <w:rFonts w:ascii="Times New Roman" w:hAnsi="Times New Roman"/>
                <w:sz w:val="24"/>
                <w:szCs w:val="24"/>
              </w:rPr>
              <w:t>Înțelegerea principalelor teorii și concepte pedagogice aplicate în educație.</w:t>
            </w:r>
          </w:p>
          <w:p w14:paraId="03352A75" w14:textId="77777777" w:rsidR="0072399F" w:rsidRDefault="0072399F" w:rsidP="0072399F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99F">
              <w:rPr>
                <w:rFonts w:ascii="Times New Roman" w:hAnsi="Times New Roman"/>
                <w:sz w:val="24"/>
                <w:szCs w:val="24"/>
              </w:rPr>
              <w:t>Abilități de comunicare și colaborare în contexte educaționale.</w:t>
            </w:r>
          </w:p>
          <w:p w14:paraId="385A525E" w14:textId="24CD8C07" w:rsidR="0072399F" w:rsidRDefault="0072399F" w:rsidP="0072399F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99F">
              <w:rPr>
                <w:rFonts w:ascii="Times New Roman" w:hAnsi="Times New Roman"/>
                <w:sz w:val="24"/>
                <w:szCs w:val="24"/>
              </w:rPr>
              <w:t>Capacitatea de a analiza și interpreta comportamente specifice dezvoltării normale a copiilor.</w:t>
            </w:r>
          </w:p>
          <w:p w14:paraId="7C81A861" w14:textId="04530D63" w:rsidR="00135C3A" w:rsidRDefault="00135C3A" w:rsidP="0072399F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Cunoașterea specificului mediilor educaționale, de învățare, a relațiilor care se stabilesc între actorii actului educațional.</w:t>
            </w:r>
          </w:p>
          <w:p w14:paraId="0135546D" w14:textId="1F81E011" w:rsidR="00135C3A" w:rsidRDefault="00135C3A" w:rsidP="0072399F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Cunoștințe de curriculum, evaluare, metode și tehnici de învățare.</w:t>
            </w:r>
          </w:p>
          <w:p w14:paraId="60C4DF3B" w14:textId="71A7404A" w:rsidR="0072399F" w:rsidRPr="0072399F" w:rsidRDefault="0072399F" w:rsidP="0072399F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99F">
              <w:rPr>
                <w:rFonts w:ascii="Times New Roman" w:hAnsi="Times New Roman"/>
                <w:sz w:val="24"/>
                <w:szCs w:val="24"/>
              </w:rPr>
              <w:t>Atitudini deschise față de diversitatea individuală și incluziunea educațională.</w:t>
            </w:r>
          </w:p>
          <w:p w14:paraId="03D86E87" w14:textId="41C14415" w:rsidR="008421F0" w:rsidRPr="0072399F" w:rsidRDefault="0072399F" w:rsidP="00135C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99F">
              <w:rPr>
                <w:rFonts w:ascii="Times New Roman" w:hAnsi="Times New Roman"/>
                <w:sz w:val="24"/>
                <w:szCs w:val="24"/>
              </w:rPr>
              <w:t>Aceste rezultate anterioare sunt necesare pentru a facilita înțelegerea aprofundată a problematicii specifice psiho</w:t>
            </w:r>
            <w:r w:rsidR="00135C3A">
              <w:rPr>
                <w:rFonts w:ascii="Times New Roman" w:hAnsi="Times New Roman"/>
                <w:sz w:val="24"/>
                <w:szCs w:val="24"/>
              </w:rPr>
              <w:t xml:space="preserve">logiei educației </w:t>
            </w:r>
            <w:r w:rsidRPr="0072399F">
              <w:rPr>
                <w:rFonts w:ascii="Times New Roman" w:hAnsi="Times New Roman"/>
                <w:sz w:val="24"/>
                <w:szCs w:val="24"/>
              </w:rPr>
              <w:t>și pentru a permite o implicare activă în activitățile teoretice și practice ale disciplinei.</w:t>
            </w:r>
          </w:p>
        </w:tc>
      </w:tr>
    </w:tbl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761C2A48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8051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4B08F15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22B80909" w14:textId="2A8E2AA4" w:rsidR="00F73E9A" w:rsidRPr="00F73E9A" w:rsidRDefault="00F73E9A" w:rsidP="00F73E9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E9A">
              <w:rPr>
                <w:rFonts w:ascii="Times New Roman" w:hAnsi="Times New Roman"/>
                <w:sz w:val="24"/>
                <w:szCs w:val="24"/>
              </w:rPr>
              <w:t>Cursul se va desfășura într-o sală dotată cu videoproiector, calculator și conexiune la internet, pentru facilitarea utilizării de materiale vizuale, prezentări multimedia și resurse digitale relevante.</w:t>
            </w:r>
          </w:p>
          <w:p w14:paraId="093F6D2C" w14:textId="77777777" w:rsidR="00F73E9A" w:rsidRPr="00F73E9A" w:rsidRDefault="00F73E9A" w:rsidP="00F73E9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E9A">
              <w:rPr>
                <w:rFonts w:ascii="Times New Roman" w:hAnsi="Times New Roman"/>
                <w:sz w:val="24"/>
                <w:szCs w:val="24"/>
              </w:rPr>
              <w:t>Spațiul trebuie să permită aranjarea flexibilă a scaunelor și băncilor, pentru încurajarea discuțiilor interactive și a activităților colaborative.</w:t>
            </w:r>
          </w:p>
          <w:p w14:paraId="07CEB68C" w14:textId="62D6100F" w:rsidR="00F73E9A" w:rsidRPr="00F73E9A" w:rsidRDefault="00F73E9A" w:rsidP="00F73E9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E9A">
              <w:rPr>
                <w:rFonts w:ascii="Times New Roman" w:hAnsi="Times New Roman"/>
                <w:sz w:val="24"/>
                <w:szCs w:val="24"/>
              </w:rPr>
              <w:t>Accesul la platforme online de învățare este recomandat pentru distribuirea materialelor suplimentare, resurselor bibliografice și pentru comunicarea asincronă cu studenții.</w:t>
            </w:r>
          </w:p>
          <w:p w14:paraId="7E088E95" w14:textId="7C227E9A" w:rsidR="00F73E9A" w:rsidRPr="00F73E9A" w:rsidRDefault="00F73E9A" w:rsidP="00F73E9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E9A">
              <w:rPr>
                <w:rFonts w:ascii="Times New Roman" w:hAnsi="Times New Roman"/>
                <w:sz w:val="24"/>
                <w:szCs w:val="24"/>
              </w:rPr>
              <w:t>Disponibilitatea materialelor didactice în format electronic și/sau tipărit, care să sprijine aprofundarea temelor teoretice și a celor practice.</w:t>
            </w:r>
          </w:p>
          <w:p w14:paraId="3202D18E" w14:textId="2952EC6E" w:rsidR="00E20BD3" w:rsidRPr="005E11F6" w:rsidRDefault="00F73E9A" w:rsidP="00F73E9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E9A">
              <w:rPr>
                <w:rFonts w:ascii="Times New Roman" w:hAnsi="Times New Roman"/>
                <w:sz w:val="24"/>
                <w:szCs w:val="24"/>
              </w:rPr>
              <w:t>Asigurarea unui climat educațional favorabil, care să stimuleze dialogul, reflecția critică și implicarea activă a studenților.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09B4B2A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</w:t>
            </w:r>
          </w:p>
        </w:tc>
        <w:tc>
          <w:tcPr>
            <w:tcW w:w="8051" w:type="dxa"/>
          </w:tcPr>
          <w:p w14:paraId="11FD812D" w14:textId="3111E2D8" w:rsidR="00A2362B" w:rsidRPr="00A2362B" w:rsidRDefault="00A2362B" w:rsidP="00A2362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62B">
              <w:rPr>
                <w:rFonts w:ascii="Times New Roman" w:hAnsi="Times New Roman"/>
                <w:sz w:val="24"/>
                <w:szCs w:val="24"/>
              </w:rPr>
              <w:t>Spațiul destinat seminarului trebuie să fie dotat cu echipamente multimedia (videoproiector, calculator, ecran), pentru susținerea prezentărilor și vizualizarea materialelor interactive.</w:t>
            </w:r>
          </w:p>
          <w:p w14:paraId="5EE19CF0" w14:textId="36ED0028" w:rsidR="00A2362B" w:rsidRPr="00A2362B" w:rsidRDefault="00A2362B" w:rsidP="00A2362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62B">
              <w:rPr>
                <w:rFonts w:ascii="Times New Roman" w:hAnsi="Times New Roman"/>
                <w:sz w:val="24"/>
                <w:szCs w:val="24"/>
              </w:rPr>
              <w:t>Organizarea spațiului trebuie să permită lucrul în grupuri mici, pentru facilitarea dezbaterilor, schimbului de idei și activităților practice colaborative.</w:t>
            </w:r>
          </w:p>
          <w:p w14:paraId="31A5DE9C" w14:textId="6E9B6745" w:rsidR="00A2362B" w:rsidRPr="00A2362B" w:rsidRDefault="00A2362B" w:rsidP="00A2362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62B">
              <w:rPr>
                <w:rFonts w:ascii="Times New Roman" w:hAnsi="Times New Roman"/>
                <w:sz w:val="24"/>
                <w:szCs w:val="24"/>
              </w:rPr>
              <w:t>Accesul la platforme digitale de învățare pentru accesarea materialelor suplimentare, a studiilor de caz și a temelor pentru acasă.</w:t>
            </w:r>
          </w:p>
          <w:p w14:paraId="65C28467" w14:textId="69266D82" w:rsidR="00A2362B" w:rsidRPr="00A2362B" w:rsidRDefault="00A2362B" w:rsidP="00A2362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62B">
              <w:rPr>
                <w:rFonts w:ascii="Times New Roman" w:hAnsi="Times New Roman"/>
                <w:sz w:val="24"/>
                <w:szCs w:val="24"/>
              </w:rPr>
              <w:lastRenderedPageBreak/>
              <w:t>Studenții trebuie să aibă la dispoziție materiale suport (fișe de lucru, ghiduri metodologice, bibliografie recomandată) pentru aprofundarea conținuturilor discutate.</w:t>
            </w:r>
          </w:p>
          <w:p w14:paraId="2906E91C" w14:textId="66DF4416" w:rsidR="00A2362B" w:rsidRPr="00A2362B" w:rsidRDefault="00A2362B" w:rsidP="00A2362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62B">
              <w:rPr>
                <w:rFonts w:ascii="Times New Roman" w:hAnsi="Times New Roman"/>
                <w:sz w:val="24"/>
                <w:szCs w:val="24"/>
              </w:rPr>
              <w:t>Seminarultrebuie să ofere un cadru deschis pentru discuții interactive, reflecție critică și aplicarea practică a conceptelor teoretice.</w:t>
            </w:r>
          </w:p>
          <w:p w14:paraId="540A7438" w14:textId="0359426C" w:rsidR="00D31C96" w:rsidRPr="00A2362B" w:rsidRDefault="00A2362B" w:rsidP="00A2362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62B">
              <w:rPr>
                <w:rFonts w:ascii="Times New Roman" w:hAnsi="Times New Roman"/>
                <w:sz w:val="24"/>
                <w:szCs w:val="24"/>
              </w:rPr>
              <w:t>În cazul proiectelor, este necesară o bună organizare a timpului și accesul la resurse informaționale și tehnologice necesare pentru realizarea temelor de cercetare sau intervenție.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CBD4302" w14:textId="77777777" w:rsidR="00B65393" w:rsidRDefault="00D31C96" w:rsidP="00B6539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14:paraId="5E27F33E" w14:textId="47B13364" w:rsidR="00B65393" w:rsidRPr="00B65393" w:rsidRDefault="00B65393" w:rsidP="00B6539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47DD1" w:rsidRPr="00B65393">
        <w:rPr>
          <w:rFonts w:ascii="Times New Roman" w:hAnsi="Times New Roman"/>
          <w:sz w:val="24"/>
          <w:szCs w:val="24"/>
        </w:rPr>
        <w:t xml:space="preserve">Disciplina </w:t>
      </w:r>
      <w:r w:rsidR="00135C3A" w:rsidRPr="00B65393">
        <w:rPr>
          <w:rFonts w:ascii="Times New Roman" w:hAnsi="Times New Roman"/>
          <w:sz w:val="24"/>
          <w:szCs w:val="24"/>
        </w:rPr>
        <w:t xml:space="preserve">Psihologia </w:t>
      </w:r>
      <w:r w:rsidR="00500159">
        <w:rPr>
          <w:rFonts w:ascii="Times New Roman" w:hAnsi="Times New Roman"/>
          <w:sz w:val="24"/>
          <w:szCs w:val="24"/>
        </w:rPr>
        <w:t>E</w:t>
      </w:r>
      <w:r w:rsidR="00135C3A" w:rsidRPr="00B65393">
        <w:rPr>
          <w:rFonts w:ascii="Times New Roman" w:hAnsi="Times New Roman"/>
          <w:sz w:val="24"/>
          <w:szCs w:val="24"/>
        </w:rPr>
        <w:t>ducației</w:t>
      </w:r>
      <w:r w:rsidR="00B47DD1" w:rsidRPr="00B65393">
        <w:rPr>
          <w:rFonts w:ascii="Times New Roman" w:hAnsi="Times New Roman"/>
          <w:sz w:val="24"/>
          <w:szCs w:val="24"/>
        </w:rPr>
        <w:t xml:space="preserve"> își propune să </w:t>
      </w:r>
      <w:r>
        <w:rPr>
          <w:rFonts w:ascii="Times New Roman" w:hAnsi="Times New Roman"/>
          <w:sz w:val="24"/>
          <w:szCs w:val="24"/>
        </w:rPr>
        <w:t xml:space="preserve">le </w:t>
      </w:r>
      <w:r w:rsidR="00B47DD1" w:rsidRPr="00B65393">
        <w:rPr>
          <w:rFonts w:ascii="Times New Roman" w:hAnsi="Times New Roman"/>
          <w:sz w:val="24"/>
          <w:szCs w:val="24"/>
        </w:rPr>
        <w:t xml:space="preserve">ofere studenților cunoștințele teoretice și practice esențiale privind particularitățile dezvoltării și învățării </w:t>
      </w:r>
      <w:r w:rsidR="00021355" w:rsidRPr="00B65393">
        <w:rPr>
          <w:rFonts w:ascii="Times New Roman" w:hAnsi="Times New Roman"/>
          <w:sz w:val="24"/>
          <w:szCs w:val="24"/>
        </w:rPr>
        <w:t>în diverse contexte educaționale: școală, grădiniță, mediul socio-familial</w:t>
      </w:r>
      <w:r w:rsidR="00B47DD1" w:rsidRPr="00B6539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Se urmărește c</w:t>
      </w:r>
      <w:r w:rsidRPr="00B65393">
        <w:rPr>
          <w:rFonts w:ascii="Times New Roman" w:hAnsi="Times New Roman"/>
          <w:sz w:val="24"/>
          <w:szCs w:val="24"/>
        </w:rPr>
        <w:t>unoaşterea şi explicarea specificului învăţării la vârstele preşcolarităţii şi şcolarităţii</w:t>
      </w:r>
      <w:r>
        <w:rPr>
          <w:rFonts w:ascii="Times New Roman" w:hAnsi="Times New Roman"/>
          <w:sz w:val="24"/>
          <w:szCs w:val="24"/>
        </w:rPr>
        <w:t>, i</w:t>
      </w:r>
      <w:r w:rsidRPr="00B65393">
        <w:rPr>
          <w:rFonts w:ascii="Times New Roman" w:eastAsia="Corbel" w:hAnsi="Times New Roman"/>
          <w:sz w:val="24"/>
          <w:szCs w:val="24"/>
          <w:shd w:val="clear" w:color="auto" w:fill="FFFFFF"/>
        </w:rPr>
        <w:t>dentific</w:t>
      </w:r>
      <w:r>
        <w:rPr>
          <w:rFonts w:ascii="Times New Roman" w:eastAsia="Corbel" w:hAnsi="Times New Roman"/>
          <w:sz w:val="24"/>
          <w:szCs w:val="24"/>
          <w:shd w:val="clear" w:color="auto" w:fill="FFFFFF"/>
        </w:rPr>
        <w:t>area</w:t>
      </w:r>
      <w:r w:rsidRPr="00B65393">
        <w:rPr>
          <w:rFonts w:ascii="Times New Roman" w:hAnsi="Times New Roman"/>
          <w:sz w:val="24"/>
          <w:szCs w:val="24"/>
        </w:rPr>
        <w:t xml:space="preserve"> şi explicarea rolului procesel</w:t>
      </w:r>
      <w:r>
        <w:rPr>
          <w:rFonts w:ascii="Times New Roman" w:hAnsi="Times New Roman"/>
          <w:sz w:val="24"/>
          <w:szCs w:val="24"/>
        </w:rPr>
        <w:t>or psihice în învăţarea şcolară.</w:t>
      </w:r>
    </w:p>
    <w:p w14:paraId="30B6A1B0" w14:textId="74413B4C" w:rsidR="00C7291D" w:rsidRDefault="00B65393" w:rsidP="00B6539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5393">
        <w:rPr>
          <w:rFonts w:ascii="Times New Roman" w:hAnsi="Times New Roman"/>
          <w:b/>
          <w:sz w:val="24"/>
          <w:szCs w:val="24"/>
        </w:rPr>
        <w:tab/>
      </w:r>
      <w:r w:rsidR="00B47DD1" w:rsidRPr="00B65393">
        <w:rPr>
          <w:rFonts w:ascii="Times New Roman" w:hAnsi="Times New Roman"/>
          <w:sz w:val="24"/>
          <w:szCs w:val="24"/>
        </w:rPr>
        <w:t xml:space="preserve">Scopul este dezvoltarea competențelor de identificare, evaluare și susținere a acestor copii în context educațional, prin aplicarea strategiilor și intervențiilor </w:t>
      </w:r>
      <w:r w:rsidR="00021355" w:rsidRPr="00B65393">
        <w:rPr>
          <w:rFonts w:ascii="Times New Roman" w:hAnsi="Times New Roman"/>
          <w:sz w:val="24"/>
          <w:szCs w:val="24"/>
        </w:rPr>
        <w:t>educaționale și de învățare</w:t>
      </w:r>
      <w:r w:rsidR="00B47DD1" w:rsidRPr="00B65393">
        <w:rPr>
          <w:rFonts w:ascii="Times New Roman" w:hAnsi="Times New Roman"/>
          <w:sz w:val="24"/>
          <w:szCs w:val="24"/>
        </w:rPr>
        <w:t xml:space="preserve"> adaptate, contribuind astfel la promovarea incluziunii și la crearea unui mediu educațional accesibil și echitabil</w:t>
      </w:r>
      <w:r w:rsidR="00021355" w:rsidRPr="00B65393">
        <w:rPr>
          <w:rFonts w:ascii="Times New Roman" w:hAnsi="Times New Roman"/>
          <w:sz w:val="24"/>
          <w:szCs w:val="24"/>
        </w:rPr>
        <w:t>, pentru toți copiii de vârstă preșcolară și școlară mică</w:t>
      </w:r>
      <w:r w:rsidR="00B47DD1" w:rsidRPr="00B65393">
        <w:rPr>
          <w:rFonts w:ascii="Times New Roman" w:hAnsi="Times New Roman"/>
          <w:sz w:val="24"/>
          <w:szCs w:val="24"/>
        </w:rPr>
        <w:t>.</w:t>
      </w:r>
      <w:r w:rsidRPr="00B65393">
        <w:rPr>
          <w:rFonts w:ascii="Times New Roman" w:hAnsi="Times New Roman"/>
          <w:sz w:val="24"/>
          <w:szCs w:val="24"/>
        </w:rPr>
        <w:t xml:space="preserve"> </w:t>
      </w:r>
      <w:r w:rsidRPr="00B65393">
        <w:rPr>
          <w:rFonts w:ascii="Times New Roman" w:hAnsi="Times New Roman"/>
          <w:sz w:val="24"/>
          <w:szCs w:val="24"/>
        </w:rPr>
        <w:t>Elaborarea unor  strategii de prevenire şi diminuare a insuccesului şcolar</w:t>
      </w:r>
    </w:p>
    <w:p w14:paraId="058CC208" w14:textId="77777777" w:rsidR="00B65393" w:rsidRPr="00B65393" w:rsidRDefault="00B65393" w:rsidP="00B6539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81229AD" w14:textId="76613E09" w:rsidR="0091383B" w:rsidRPr="00C7611C" w:rsidRDefault="000B3BD0" w:rsidP="00D12241">
      <w:pPr>
        <w:spacing w:after="160" w:line="278" w:lineRule="auto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="00D31C96" w:rsidRPr="00C7611C">
        <w:rPr>
          <w:rFonts w:ascii="Times New Roman" w:hAnsi="Times New Roman"/>
          <w:b/>
          <w:sz w:val="24"/>
          <w:szCs w:val="24"/>
        </w:rPr>
        <w:t>. Rezultatele învă</w:t>
      </w:r>
      <w:r w:rsidR="001B1709" w:rsidRPr="00C7611C">
        <w:rPr>
          <w:rFonts w:ascii="Times New Roman" w:hAnsi="Times New Roman"/>
          <w:b/>
          <w:sz w:val="24"/>
          <w:szCs w:val="24"/>
        </w:rPr>
        <w:t>ț</w:t>
      </w:r>
      <w:r w:rsidR="00D31C96" w:rsidRPr="00C7611C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463"/>
      </w:tblGrid>
      <w:tr w:rsidR="00FD0711" w:rsidRPr="0007194F" w14:paraId="44888664" w14:textId="77777777" w:rsidTr="5B232E0B">
        <w:trPr>
          <w:cantSplit/>
          <w:trHeight w:val="197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621ABFCF" w14:textId="449CFD88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  <w:shd w:val="clear" w:color="auto" w:fill="auto"/>
          </w:tcPr>
          <w:p w14:paraId="41DB272F" w14:textId="5F671479" w:rsidR="0040718D" w:rsidRPr="001B1678" w:rsidRDefault="0040718D" w:rsidP="0040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678">
              <w:rPr>
                <w:rFonts w:ascii="Times New Roman" w:hAnsi="Times New Roman"/>
                <w:sz w:val="24"/>
                <w:szCs w:val="24"/>
              </w:rPr>
              <w:t>La finalul disciplinei, studentul va fi capabil să:</w:t>
            </w:r>
          </w:p>
          <w:p w14:paraId="7189EF54" w14:textId="4AA3A20D" w:rsidR="00A44D9C" w:rsidRPr="00A44D9C" w:rsidRDefault="00A44D9C" w:rsidP="00A44D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D9C">
              <w:rPr>
                <w:rFonts w:ascii="Times New Roman" w:hAnsi="Times New Roman"/>
                <w:sz w:val="24"/>
                <w:szCs w:val="24"/>
              </w:rPr>
              <w:t>Recunoască și să explice conceptele fundamentale ale psiho</w:t>
            </w:r>
            <w:r w:rsidR="00021355">
              <w:rPr>
                <w:rFonts w:ascii="Times New Roman" w:hAnsi="Times New Roman"/>
                <w:sz w:val="24"/>
                <w:szCs w:val="24"/>
              </w:rPr>
              <w:t>logiei educației</w:t>
            </w:r>
            <w:r w:rsidRPr="00A44D9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8D1281D" w14:textId="0302BC5D" w:rsidR="00A44D9C" w:rsidRPr="00A44D9C" w:rsidRDefault="00A44D9C" w:rsidP="00A44D9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D9C">
              <w:rPr>
                <w:rFonts w:ascii="Times New Roman" w:hAnsi="Times New Roman"/>
                <w:sz w:val="24"/>
                <w:szCs w:val="24"/>
              </w:rPr>
              <w:t xml:space="preserve">Identifice principalele teorii și modele explicative privind </w:t>
            </w:r>
            <w:r w:rsidR="00021355">
              <w:rPr>
                <w:rFonts w:ascii="Times New Roman" w:hAnsi="Times New Roman"/>
                <w:sz w:val="24"/>
                <w:szCs w:val="24"/>
              </w:rPr>
              <w:t>învățarea, modalitățile de obținere a reușite, succesului și înlăturare a eșecului și abandonului școlar</w:t>
            </w:r>
            <w:r w:rsidRPr="00A44D9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3D44E3" w14:textId="7CEF7D73" w:rsidR="00E20BD3" w:rsidRPr="001B1678" w:rsidRDefault="00A44D9C" w:rsidP="0002135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4D9C">
              <w:rPr>
                <w:rFonts w:ascii="Times New Roman" w:hAnsi="Times New Roman"/>
                <w:sz w:val="24"/>
                <w:szCs w:val="24"/>
              </w:rPr>
              <w:t xml:space="preserve">Descrie metodele și tehnicile de evaluare psihopedagogică utilizate în identificarea și </w:t>
            </w:r>
            <w:r w:rsidR="00021355">
              <w:rPr>
                <w:rFonts w:ascii="Times New Roman" w:hAnsi="Times New Roman"/>
                <w:sz w:val="24"/>
                <w:szCs w:val="24"/>
              </w:rPr>
              <w:t>înlățurarea precoce a blocajelor și barierelor în învățare</w:t>
            </w:r>
            <w:r w:rsidRPr="00A44D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0711" w:rsidRPr="0007194F" w14:paraId="110936E3" w14:textId="77777777" w:rsidTr="5B232E0B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44988092" w14:textId="273E40CB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  <w:shd w:val="clear" w:color="auto" w:fill="auto"/>
          </w:tcPr>
          <w:p w14:paraId="5AC879EE" w14:textId="77777777" w:rsidR="003463E6" w:rsidRPr="003463E6" w:rsidRDefault="003463E6" w:rsidP="003463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3E6">
              <w:rPr>
                <w:rFonts w:ascii="Times New Roman" w:hAnsi="Times New Roman"/>
                <w:sz w:val="24"/>
                <w:szCs w:val="24"/>
              </w:rPr>
              <w:t>La finalul disciplinei, studentul va putea să:</w:t>
            </w:r>
          </w:p>
          <w:p w14:paraId="6E60EE2C" w14:textId="02013013" w:rsidR="00B56D62" w:rsidRPr="00B56D62" w:rsidRDefault="00B56D62" w:rsidP="00B56D62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D62">
              <w:rPr>
                <w:rFonts w:ascii="Times New Roman" w:hAnsi="Times New Roman"/>
                <w:sz w:val="24"/>
                <w:szCs w:val="24"/>
              </w:rPr>
              <w:t xml:space="preserve">Aplice metode și tehnici de intervenție psihopedagogică adaptate nevoilor specifice ale </w:t>
            </w:r>
            <w:r w:rsidR="00021355">
              <w:rPr>
                <w:rFonts w:ascii="Times New Roman" w:hAnsi="Times New Roman"/>
                <w:sz w:val="24"/>
                <w:szCs w:val="24"/>
              </w:rPr>
              <w:t xml:space="preserve">tuturor </w:t>
            </w:r>
            <w:r w:rsidRPr="00B56D62">
              <w:rPr>
                <w:rFonts w:ascii="Times New Roman" w:hAnsi="Times New Roman"/>
                <w:sz w:val="24"/>
                <w:szCs w:val="24"/>
              </w:rPr>
              <w:t>copiilor</w:t>
            </w:r>
            <w:r w:rsidR="00021355">
              <w:rPr>
                <w:rFonts w:ascii="Times New Roman" w:hAnsi="Times New Roman"/>
                <w:sz w:val="24"/>
                <w:szCs w:val="24"/>
              </w:rPr>
              <w:t>, a particularităților individuale ale acestora, inclusiv</w:t>
            </w:r>
            <w:r w:rsidRPr="00B56D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1355">
              <w:rPr>
                <w:rFonts w:ascii="Times New Roman" w:hAnsi="Times New Roman"/>
                <w:sz w:val="24"/>
                <w:szCs w:val="24"/>
              </w:rPr>
              <w:t xml:space="preserve">a celor </w:t>
            </w:r>
            <w:r w:rsidRPr="00B56D62">
              <w:rPr>
                <w:rFonts w:ascii="Times New Roman" w:hAnsi="Times New Roman"/>
                <w:sz w:val="24"/>
                <w:szCs w:val="24"/>
              </w:rPr>
              <w:t>cu dificultăți de învățare.</w:t>
            </w:r>
          </w:p>
          <w:p w14:paraId="20FE4DF4" w14:textId="19FE1276" w:rsidR="00B56D62" w:rsidRPr="00B56D62" w:rsidRDefault="00500159" w:rsidP="00B56D62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021355">
              <w:rPr>
                <w:rFonts w:ascii="Times New Roman" w:hAnsi="Times New Roman"/>
                <w:sz w:val="24"/>
                <w:szCs w:val="24"/>
              </w:rPr>
              <w:t>ă cunoască principiile adaptării curriculare și centrării învățării pe particularitățile psiho-individuale ale copilului</w:t>
            </w:r>
            <w:r w:rsidR="00B56D62" w:rsidRPr="00B56D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9893D81" w14:textId="57013D0A" w:rsidR="00241E04" w:rsidRPr="003463E6" w:rsidRDefault="00B56D62" w:rsidP="00B56D62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D62">
              <w:rPr>
                <w:rFonts w:ascii="Times New Roman" w:hAnsi="Times New Roman"/>
                <w:sz w:val="24"/>
                <w:szCs w:val="24"/>
              </w:rPr>
              <w:t>Utilizeze instrumente și proceduri de evaluare pentru monitorizarea progresului copiilor.</w:t>
            </w:r>
          </w:p>
        </w:tc>
      </w:tr>
      <w:tr w:rsidR="002A2A27" w:rsidRPr="0007194F" w14:paraId="22C94215" w14:textId="77777777" w:rsidTr="5B232E0B">
        <w:trPr>
          <w:cantSplit/>
          <w:trHeight w:val="2329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6A44056B" w14:textId="72CA1605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  <w:shd w:val="clear" w:color="auto" w:fill="auto"/>
          </w:tcPr>
          <w:p w14:paraId="3CD454C8" w14:textId="77777777" w:rsidR="00B56D62" w:rsidRPr="00B56D62" w:rsidRDefault="00B56D62" w:rsidP="00B56D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D62">
              <w:rPr>
                <w:rFonts w:ascii="Times New Roman" w:hAnsi="Times New Roman"/>
                <w:sz w:val="24"/>
                <w:szCs w:val="24"/>
              </w:rPr>
              <w:t>La finalul disciplinei, studentul va fi capabil să:</w:t>
            </w:r>
          </w:p>
          <w:p w14:paraId="784A6041" w14:textId="59397FFF" w:rsidR="00B56D62" w:rsidRDefault="00B56D62" w:rsidP="00B56D62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D62">
              <w:rPr>
                <w:rFonts w:ascii="Times New Roman" w:hAnsi="Times New Roman"/>
                <w:sz w:val="24"/>
                <w:szCs w:val="24"/>
              </w:rPr>
              <w:t xml:space="preserve">Demonstreze autonomie în organizarea și gestionarea </w:t>
            </w:r>
            <w:r w:rsidR="00021355">
              <w:rPr>
                <w:rFonts w:ascii="Times New Roman" w:hAnsi="Times New Roman"/>
                <w:sz w:val="24"/>
                <w:szCs w:val="24"/>
              </w:rPr>
              <w:t xml:space="preserve">procesului de învățare și </w:t>
            </w:r>
            <w:r w:rsidRPr="00B56D62">
              <w:rPr>
                <w:rFonts w:ascii="Times New Roman" w:hAnsi="Times New Roman"/>
                <w:sz w:val="24"/>
                <w:szCs w:val="24"/>
              </w:rPr>
              <w:t xml:space="preserve">situațiilor educaționale care implică copii </w:t>
            </w:r>
            <w:r w:rsidR="00B61180">
              <w:rPr>
                <w:rFonts w:ascii="Times New Roman" w:hAnsi="Times New Roman"/>
                <w:sz w:val="24"/>
                <w:szCs w:val="24"/>
              </w:rPr>
              <w:t>normal dezvoltați, sau care prezintă cerințe educative speciale.</w:t>
            </w:r>
          </w:p>
          <w:p w14:paraId="13B8139C" w14:textId="77777777" w:rsidR="00B56D62" w:rsidRDefault="00B56D62" w:rsidP="00B56D62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D62">
              <w:rPr>
                <w:rFonts w:ascii="Times New Roman" w:hAnsi="Times New Roman"/>
                <w:sz w:val="24"/>
                <w:szCs w:val="24"/>
              </w:rPr>
              <w:t>Aplice principii etice și deontologice în munca cu copiii și în colaborarea interdisciplinară.</w:t>
            </w:r>
          </w:p>
          <w:p w14:paraId="4E90C458" w14:textId="3BC0F0BA" w:rsidR="00EF4811" w:rsidRPr="00B56D62" w:rsidRDefault="00B61180" w:rsidP="00B61180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B56D62" w:rsidRPr="00B56D62">
              <w:rPr>
                <w:rFonts w:ascii="Times New Roman" w:hAnsi="Times New Roman"/>
                <w:sz w:val="24"/>
                <w:szCs w:val="24"/>
              </w:rPr>
              <w:t>prijin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B56D62" w:rsidRPr="00B56D62">
              <w:rPr>
                <w:rFonts w:ascii="Times New Roman" w:hAnsi="Times New Roman"/>
                <w:sz w:val="24"/>
                <w:szCs w:val="24"/>
              </w:rPr>
              <w:t xml:space="preserve"> dezvoltarea unui mediu educațional adaptat diversității elevilor.</w:t>
            </w:r>
          </w:p>
        </w:tc>
      </w:tr>
    </w:tbl>
    <w:p w14:paraId="492605DF" w14:textId="77777777" w:rsidR="001B1D5F" w:rsidRDefault="001B1D5F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A6A4AC8" w14:textId="77777777" w:rsidR="00642C08" w:rsidRDefault="000B3BD0" w:rsidP="00642C08">
      <w:pPr>
        <w:spacing w:after="0" w:line="240" w:lineRule="auto"/>
        <w:contextualSpacing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F7824E2" w14:textId="4316EBE5" w:rsidR="009B599D" w:rsidRPr="00642C08" w:rsidRDefault="00500159" w:rsidP="00642C08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9B599D" w:rsidRPr="009B599D">
        <w:rPr>
          <w:rFonts w:ascii="Times New Roman" w:hAnsi="Times New Roman"/>
          <w:sz w:val="24"/>
          <w:szCs w:val="24"/>
        </w:rPr>
        <w:t xml:space="preserve">Predarea disciplinei </w:t>
      </w:r>
      <w:r w:rsidR="00B61180">
        <w:rPr>
          <w:rFonts w:ascii="Times New Roman" w:hAnsi="Times New Roman"/>
          <w:sz w:val="24"/>
          <w:szCs w:val="24"/>
        </w:rPr>
        <w:t>Psihologia Educației</w:t>
      </w:r>
      <w:r w:rsidR="009B599D" w:rsidRPr="009B599D">
        <w:rPr>
          <w:rFonts w:ascii="Times New Roman" w:hAnsi="Times New Roman"/>
          <w:sz w:val="24"/>
          <w:szCs w:val="24"/>
        </w:rPr>
        <w:t xml:space="preserve"> se va baza pe o combinație de metode expozitive și interactive, adaptate nevoilor studenților și specificului tematicii.</w:t>
      </w:r>
      <w:r w:rsidR="009B599D">
        <w:rPr>
          <w:rFonts w:ascii="Times New Roman" w:hAnsi="Times New Roman"/>
          <w:sz w:val="24"/>
          <w:szCs w:val="24"/>
        </w:rPr>
        <w:t xml:space="preserve"> </w:t>
      </w:r>
      <w:r w:rsidR="009B599D" w:rsidRPr="009B599D">
        <w:rPr>
          <w:rFonts w:ascii="Times New Roman" w:hAnsi="Times New Roman"/>
          <w:sz w:val="24"/>
          <w:szCs w:val="24"/>
        </w:rPr>
        <w:t>Metode expozitive: prelegeri structurate și clar organizate, susținute de prezentări PowerPoint și materiale multimedia pentru explicarea conceptelor teoretice fundamentale.</w:t>
      </w:r>
      <w:r w:rsidR="009B599D">
        <w:rPr>
          <w:rFonts w:ascii="Times New Roman" w:hAnsi="Times New Roman"/>
          <w:sz w:val="24"/>
          <w:szCs w:val="24"/>
        </w:rPr>
        <w:t xml:space="preserve"> </w:t>
      </w:r>
      <w:r w:rsidR="009B599D" w:rsidRPr="009B599D">
        <w:rPr>
          <w:rFonts w:ascii="Times New Roman" w:hAnsi="Times New Roman"/>
          <w:sz w:val="24"/>
          <w:szCs w:val="24"/>
        </w:rPr>
        <w:t>Metode interactive: discuții și dezbateri pe teme relevante, stimulând reflecția critică și schimbul de opinii.</w:t>
      </w:r>
      <w:r w:rsidR="009B599D">
        <w:rPr>
          <w:rFonts w:ascii="Times New Roman" w:hAnsi="Times New Roman"/>
          <w:sz w:val="24"/>
          <w:szCs w:val="24"/>
        </w:rPr>
        <w:t xml:space="preserve"> </w:t>
      </w:r>
      <w:r w:rsidR="009B599D" w:rsidRPr="009B599D">
        <w:rPr>
          <w:rFonts w:ascii="Times New Roman" w:hAnsi="Times New Roman"/>
          <w:sz w:val="24"/>
          <w:szCs w:val="24"/>
        </w:rPr>
        <w:t>Învățare prin studiu de caz: analiza situațiilor concrete pentru înțelegerea aplicată a teoriilor și strategiilor psihopedagogice.</w:t>
      </w:r>
      <w:r w:rsidR="009B599D">
        <w:rPr>
          <w:rFonts w:ascii="Times New Roman" w:hAnsi="Times New Roman"/>
          <w:sz w:val="24"/>
          <w:szCs w:val="24"/>
        </w:rPr>
        <w:t xml:space="preserve"> </w:t>
      </w:r>
      <w:r w:rsidR="009B599D" w:rsidRPr="009B599D">
        <w:rPr>
          <w:rFonts w:ascii="Times New Roman" w:hAnsi="Times New Roman"/>
          <w:sz w:val="24"/>
          <w:szCs w:val="24"/>
        </w:rPr>
        <w:t xml:space="preserve">Metode aplicative și practice: exerciții de evaluare psihopedagogică, simulări și </w:t>
      </w:r>
      <w:r w:rsidR="00B61180">
        <w:rPr>
          <w:rFonts w:ascii="Times New Roman" w:hAnsi="Times New Roman"/>
          <w:sz w:val="24"/>
          <w:szCs w:val="24"/>
        </w:rPr>
        <w:t>jocuri de rol,</w:t>
      </w:r>
      <w:r w:rsidR="009B599D" w:rsidRPr="009B599D">
        <w:rPr>
          <w:rFonts w:ascii="Times New Roman" w:hAnsi="Times New Roman"/>
          <w:sz w:val="24"/>
          <w:szCs w:val="24"/>
        </w:rPr>
        <w:t xml:space="preserve"> pentru dezvoltarea abilităților practice în lucrul cu copii</w:t>
      </w:r>
      <w:r w:rsidR="00B61180">
        <w:rPr>
          <w:rFonts w:ascii="Times New Roman" w:hAnsi="Times New Roman"/>
          <w:sz w:val="24"/>
          <w:szCs w:val="24"/>
        </w:rPr>
        <w:t>i preșcolari și școlari mici,</w:t>
      </w:r>
      <w:r w:rsidR="009B599D" w:rsidRPr="009B599D">
        <w:rPr>
          <w:rFonts w:ascii="Times New Roman" w:hAnsi="Times New Roman"/>
          <w:sz w:val="24"/>
          <w:szCs w:val="24"/>
        </w:rPr>
        <w:t xml:space="preserve"> cu </w:t>
      </w:r>
      <w:r w:rsidR="00B61180">
        <w:rPr>
          <w:rFonts w:ascii="Times New Roman" w:hAnsi="Times New Roman"/>
          <w:sz w:val="24"/>
          <w:szCs w:val="24"/>
        </w:rPr>
        <w:t>sau fără cerințe educative s</w:t>
      </w:r>
      <w:r w:rsidR="009B599D" w:rsidRPr="009B599D">
        <w:rPr>
          <w:rFonts w:ascii="Times New Roman" w:hAnsi="Times New Roman"/>
          <w:sz w:val="24"/>
          <w:szCs w:val="24"/>
        </w:rPr>
        <w:t>peciale.</w:t>
      </w:r>
      <w:r w:rsidR="009B599D">
        <w:rPr>
          <w:rFonts w:ascii="Times New Roman" w:hAnsi="Times New Roman"/>
          <w:sz w:val="24"/>
          <w:szCs w:val="24"/>
        </w:rPr>
        <w:t xml:space="preserve"> </w:t>
      </w:r>
      <w:r w:rsidR="009B599D" w:rsidRPr="009B599D">
        <w:rPr>
          <w:rFonts w:ascii="Times New Roman" w:hAnsi="Times New Roman"/>
          <w:sz w:val="24"/>
          <w:szCs w:val="24"/>
        </w:rPr>
        <w:t>Colaborare și învățare în echipă: activități de grup care să faciliteze cooperarea și dezvoltarea competențelor de comunicare și intervenție interdisciplinară.</w:t>
      </w:r>
      <w:r w:rsidR="009B599D">
        <w:rPr>
          <w:rFonts w:ascii="Times New Roman" w:hAnsi="Times New Roman"/>
          <w:sz w:val="24"/>
          <w:szCs w:val="24"/>
        </w:rPr>
        <w:t xml:space="preserve"> </w:t>
      </w:r>
      <w:r w:rsidR="009B599D" w:rsidRPr="009B599D">
        <w:rPr>
          <w:rFonts w:ascii="Times New Roman" w:hAnsi="Times New Roman"/>
          <w:sz w:val="24"/>
          <w:szCs w:val="24"/>
        </w:rPr>
        <w:t>În cadrul cursurilor și seminariilor se vor utiliza materiale vizuale, exemple practice, videoclipuri și resurse digitale pentru a sprijini înțelegerea și asimilarea conținuturilor. Accentul se va pune pe dezvoltarea gândirii critice și pe aplicarea concretă a cunoștințelor în contexte educaționale diverse.</w:t>
      </w:r>
    </w:p>
    <w:p w14:paraId="31933B81" w14:textId="77777777" w:rsidR="00E07BEC" w:rsidRPr="0082590B" w:rsidRDefault="00E07BEC" w:rsidP="00E07B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1117EE" w14:textId="0685EEDD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136E1F19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5D65DEB4" w:rsidR="00AD6760" w:rsidRPr="00AD676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136E1F19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C1200F" w:rsidRPr="00AD6760" w14:paraId="5C04FB19" w14:textId="77777777" w:rsidTr="00406199">
        <w:trPr>
          <w:trHeight w:val="312"/>
          <w:jc w:val="center"/>
        </w:trPr>
        <w:tc>
          <w:tcPr>
            <w:tcW w:w="1271" w:type="dxa"/>
            <w:vAlign w:val="center"/>
          </w:tcPr>
          <w:p w14:paraId="48238F9C" w14:textId="3B59D679" w:rsid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174925B9" w14:textId="7B6DF051" w:rsidR="00C1200F" w:rsidRPr="00C1200F" w:rsidRDefault="00C1200F" w:rsidP="00C120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Obiectul de studiu şi problematica psihologiei educaţiei.</w:t>
            </w:r>
          </w:p>
        </w:tc>
        <w:tc>
          <w:tcPr>
            <w:tcW w:w="857" w:type="dxa"/>
          </w:tcPr>
          <w:p w14:paraId="6C38D9B6" w14:textId="43A94FA8" w:rsidR="00C1200F" w:rsidRP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200F" w:rsidRPr="00AD6760" w14:paraId="72E02A2D" w14:textId="77777777" w:rsidTr="000D7A66">
        <w:trPr>
          <w:trHeight w:val="312"/>
          <w:jc w:val="center"/>
        </w:trPr>
        <w:tc>
          <w:tcPr>
            <w:tcW w:w="1271" w:type="dxa"/>
            <w:vAlign w:val="center"/>
          </w:tcPr>
          <w:p w14:paraId="4621E225" w14:textId="0085A352" w:rsid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1CED8D25" w14:textId="317AD567" w:rsidR="00C1200F" w:rsidRPr="00C1200F" w:rsidRDefault="00C1200F" w:rsidP="00C120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 xml:space="preserve">Elemente de psihologia învăţării: delimitări conceptuale –învăţare şcolară, </w:t>
            </w:r>
          </w:p>
        </w:tc>
        <w:tc>
          <w:tcPr>
            <w:tcW w:w="857" w:type="dxa"/>
          </w:tcPr>
          <w:p w14:paraId="604C86E7" w14:textId="5F1D0EA6" w:rsidR="00C1200F" w:rsidRP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200F" w:rsidRPr="00AD6760" w14:paraId="571C3CBE" w14:textId="77777777" w:rsidTr="005F7EC6">
        <w:trPr>
          <w:trHeight w:val="312"/>
          <w:jc w:val="center"/>
        </w:trPr>
        <w:tc>
          <w:tcPr>
            <w:tcW w:w="1271" w:type="dxa"/>
            <w:vAlign w:val="center"/>
          </w:tcPr>
          <w:p w14:paraId="1CBEED85" w14:textId="21D73F95" w:rsid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</w:tcPr>
          <w:p w14:paraId="63AAD3D1" w14:textId="5501FFA3" w:rsidR="00C1200F" w:rsidRPr="00C1200F" w:rsidRDefault="00C1200F" w:rsidP="00C120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F</w:t>
            </w:r>
            <w:r w:rsidRPr="00C1200F">
              <w:rPr>
                <w:rFonts w:ascii="Times New Roman" w:hAnsi="Times New Roman"/>
                <w:sz w:val="24"/>
                <w:szCs w:val="24"/>
              </w:rPr>
              <w:t xml:space="preserve">orme </w:t>
            </w:r>
            <w:r w:rsidRPr="00C1200F">
              <w:rPr>
                <w:rFonts w:ascii="Times New Roman" w:hAnsi="Times New Roman"/>
                <w:sz w:val="24"/>
                <w:szCs w:val="24"/>
              </w:rPr>
              <w:t xml:space="preserve">și niveluri </w:t>
            </w:r>
            <w:r w:rsidRPr="00C1200F">
              <w:rPr>
                <w:rFonts w:ascii="Times New Roman" w:hAnsi="Times New Roman"/>
                <w:sz w:val="24"/>
                <w:szCs w:val="24"/>
              </w:rPr>
              <w:t xml:space="preserve">ale învăţării,  </w:t>
            </w:r>
          </w:p>
        </w:tc>
        <w:tc>
          <w:tcPr>
            <w:tcW w:w="857" w:type="dxa"/>
          </w:tcPr>
          <w:p w14:paraId="2B8CE43A" w14:textId="27C7A7BD" w:rsidR="00C1200F" w:rsidRP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200F" w:rsidRPr="00AD6760" w14:paraId="03D0C988" w14:textId="77777777" w:rsidTr="00D00BEF">
        <w:trPr>
          <w:trHeight w:val="312"/>
          <w:jc w:val="center"/>
        </w:trPr>
        <w:tc>
          <w:tcPr>
            <w:tcW w:w="1271" w:type="dxa"/>
            <w:vAlign w:val="center"/>
          </w:tcPr>
          <w:p w14:paraId="71531D49" w14:textId="59AEF2D9" w:rsid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1C9778AD" w14:textId="50462AD2" w:rsidR="00C1200F" w:rsidRPr="00C1200F" w:rsidRDefault="00C1200F" w:rsidP="00C120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 xml:space="preserve">Condiţiile interne și externe ale învăţării şcolare. </w:t>
            </w:r>
          </w:p>
        </w:tc>
        <w:tc>
          <w:tcPr>
            <w:tcW w:w="857" w:type="dxa"/>
          </w:tcPr>
          <w:p w14:paraId="79FD41C3" w14:textId="37009837" w:rsidR="00C1200F" w:rsidRP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200F" w:rsidRPr="00AD6760" w14:paraId="3FEABBDF" w14:textId="77777777" w:rsidTr="005129F9">
        <w:trPr>
          <w:trHeight w:val="312"/>
          <w:jc w:val="center"/>
        </w:trPr>
        <w:tc>
          <w:tcPr>
            <w:tcW w:w="1271" w:type="dxa"/>
            <w:vAlign w:val="center"/>
          </w:tcPr>
          <w:p w14:paraId="7BD02B43" w14:textId="27A74B42" w:rsid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7C18A6C4" w14:textId="5C414D7A" w:rsidR="00C1200F" w:rsidRPr="00C1200F" w:rsidRDefault="00C1200F" w:rsidP="00C120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Mecanismele neuro</w:t>
            </w:r>
            <w:r w:rsidRPr="00C1200F">
              <w:rPr>
                <w:rFonts w:ascii="Times New Roman" w:hAnsi="Times New Roman"/>
                <w:sz w:val="24"/>
                <w:szCs w:val="24"/>
              </w:rPr>
              <w:t>dinamice</w:t>
            </w:r>
            <w:r w:rsidRPr="00C1200F">
              <w:rPr>
                <w:rFonts w:ascii="Times New Roman" w:hAnsi="Times New Roman"/>
                <w:sz w:val="24"/>
                <w:szCs w:val="24"/>
              </w:rPr>
              <w:t xml:space="preserve"> ale învățării</w:t>
            </w:r>
          </w:p>
        </w:tc>
        <w:tc>
          <w:tcPr>
            <w:tcW w:w="857" w:type="dxa"/>
          </w:tcPr>
          <w:p w14:paraId="58C2B01A" w14:textId="196DCE4B" w:rsidR="00C1200F" w:rsidRP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200F" w:rsidRPr="00AD6760" w14:paraId="7AA11E49" w14:textId="77777777" w:rsidTr="00C1200F">
        <w:trPr>
          <w:trHeight w:val="545"/>
          <w:jc w:val="center"/>
        </w:trPr>
        <w:tc>
          <w:tcPr>
            <w:tcW w:w="1271" w:type="dxa"/>
            <w:vAlign w:val="center"/>
          </w:tcPr>
          <w:p w14:paraId="2B363F77" w14:textId="57FEEBA8" w:rsid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</w:tcPr>
          <w:p w14:paraId="5B2D8FD2" w14:textId="1A4EC98B" w:rsidR="00C1200F" w:rsidRPr="00C1200F" w:rsidRDefault="00C1200F" w:rsidP="00C120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iCs/>
                <w:sz w:val="24"/>
                <w:szCs w:val="24"/>
              </w:rPr>
              <w:t>Dimensiunile cognitive ale învăţării şcolare</w:t>
            </w:r>
          </w:p>
        </w:tc>
        <w:tc>
          <w:tcPr>
            <w:tcW w:w="857" w:type="dxa"/>
          </w:tcPr>
          <w:p w14:paraId="7DF35216" w14:textId="69559970" w:rsidR="00C1200F" w:rsidRP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200F" w:rsidRPr="00AD6760" w14:paraId="5A732176" w14:textId="77777777" w:rsidTr="00613620">
        <w:trPr>
          <w:trHeight w:val="312"/>
          <w:jc w:val="center"/>
        </w:trPr>
        <w:tc>
          <w:tcPr>
            <w:tcW w:w="1271" w:type="dxa"/>
            <w:vAlign w:val="center"/>
          </w:tcPr>
          <w:p w14:paraId="1213BFF2" w14:textId="69A36D36" w:rsid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8399" w:type="dxa"/>
          </w:tcPr>
          <w:p w14:paraId="1AB77045" w14:textId="703B56B7" w:rsidR="00C1200F" w:rsidRPr="00C1200F" w:rsidRDefault="00C1200F" w:rsidP="00C120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iCs/>
                <w:sz w:val="24"/>
                <w:szCs w:val="24"/>
              </w:rPr>
              <w:t xml:space="preserve">Dimensiunile </w:t>
            </w:r>
            <w:r w:rsidR="00195688">
              <w:rPr>
                <w:rFonts w:ascii="Times New Roman" w:hAnsi="Times New Roman"/>
                <w:iCs/>
                <w:sz w:val="24"/>
                <w:szCs w:val="24"/>
              </w:rPr>
              <w:t>non-</w:t>
            </w:r>
            <w:r w:rsidRPr="00C1200F">
              <w:rPr>
                <w:rFonts w:ascii="Times New Roman" w:hAnsi="Times New Roman"/>
                <w:iCs/>
                <w:sz w:val="24"/>
                <w:szCs w:val="24"/>
              </w:rPr>
              <w:t>cognitive ale învăţării şcolare</w:t>
            </w:r>
          </w:p>
        </w:tc>
        <w:tc>
          <w:tcPr>
            <w:tcW w:w="857" w:type="dxa"/>
          </w:tcPr>
          <w:p w14:paraId="0A5ADA3E" w14:textId="3E2800F2" w:rsidR="00C1200F" w:rsidRP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200F" w:rsidRPr="00AD6760" w14:paraId="2FAF5653" w14:textId="77777777" w:rsidTr="004114E4">
        <w:trPr>
          <w:trHeight w:val="312"/>
          <w:jc w:val="center"/>
        </w:trPr>
        <w:tc>
          <w:tcPr>
            <w:tcW w:w="1271" w:type="dxa"/>
            <w:vAlign w:val="center"/>
          </w:tcPr>
          <w:p w14:paraId="70FBC42F" w14:textId="4049C4E3" w:rsidR="00C1200F" w:rsidRPr="00AD6760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  <w:tc>
          <w:tcPr>
            <w:tcW w:w="8399" w:type="dxa"/>
          </w:tcPr>
          <w:p w14:paraId="05A240DB" w14:textId="69E11728" w:rsidR="00C1200F" w:rsidRPr="00C1200F" w:rsidRDefault="00C1200F" w:rsidP="00C120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Particularităţi ale învăţării  la preşcolar.</w:t>
            </w:r>
          </w:p>
        </w:tc>
        <w:tc>
          <w:tcPr>
            <w:tcW w:w="857" w:type="dxa"/>
          </w:tcPr>
          <w:p w14:paraId="3C9EB5C0" w14:textId="0FA91096" w:rsidR="00C1200F" w:rsidRPr="00C1200F" w:rsidRDefault="00C1200F" w:rsidP="00C120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200F" w:rsidRPr="00AD6760" w14:paraId="18ABA96D" w14:textId="77777777" w:rsidTr="00F17463">
        <w:trPr>
          <w:jc w:val="center"/>
        </w:trPr>
        <w:tc>
          <w:tcPr>
            <w:tcW w:w="1271" w:type="dxa"/>
            <w:vAlign w:val="center"/>
          </w:tcPr>
          <w:p w14:paraId="748F843E" w14:textId="1D38FA6C" w:rsidR="00C1200F" w:rsidRPr="00AD6760" w:rsidRDefault="00C1200F" w:rsidP="00C12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  <w:tc>
          <w:tcPr>
            <w:tcW w:w="8399" w:type="dxa"/>
          </w:tcPr>
          <w:p w14:paraId="3DFD3DA7" w14:textId="77777777" w:rsidR="00C1200F" w:rsidRPr="00C1200F" w:rsidRDefault="00C1200F" w:rsidP="00C120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Aspecte psihologice ale învăţării prin joc la vârsta preşcolară.</w:t>
            </w:r>
          </w:p>
          <w:p w14:paraId="40D13369" w14:textId="41F06270" w:rsidR="00C1200F" w:rsidRPr="00C1200F" w:rsidRDefault="00C1200F" w:rsidP="00C1200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dxa"/>
          </w:tcPr>
          <w:p w14:paraId="34AE2AC5" w14:textId="3F7C3F01" w:rsidR="00C1200F" w:rsidRPr="00C1200F" w:rsidRDefault="00C1200F" w:rsidP="00C12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200F" w:rsidRPr="00AD6760" w14:paraId="389DF12A" w14:textId="77777777" w:rsidTr="008B7154">
        <w:trPr>
          <w:jc w:val="center"/>
        </w:trPr>
        <w:tc>
          <w:tcPr>
            <w:tcW w:w="1271" w:type="dxa"/>
            <w:vAlign w:val="center"/>
          </w:tcPr>
          <w:p w14:paraId="0C8F769E" w14:textId="2DEBC33F" w:rsidR="00C1200F" w:rsidRPr="00AD6760" w:rsidRDefault="00C1200F" w:rsidP="00C12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99" w:type="dxa"/>
          </w:tcPr>
          <w:p w14:paraId="3931F23B" w14:textId="77777777" w:rsidR="00C1200F" w:rsidRPr="00C1200F" w:rsidRDefault="00C1200F" w:rsidP="00C120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Particularităţi ale învăţării  la şcolarul mic.</w:t>
            </w:r>
          </w:p>
          <w:p w14:paraId="76C651D4" w14:textId="3732F6C7" w:rsidR="00C1200F" w:rsidRPr="00C1200F" w:rsidRDefault="00C1200F" w:rsidP="00C1200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dxa"/>
          </w:tcPr>
          <w:p w14:paraId="313E2854" w14:textId="5266845A" w:rsidR="00C1200F" w:rsidRPr="00C1200F" w:rsidRDefault="00C1200F" w:rsidP="00C12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200F" w:rsidRPr="00AD6760" w14:paraId="2CC7EA92" w14:textId="77777777" w:rsidTr="00EE6DBF">
        <w:trPr>
          <w:jc w:val="center"/>
        </w:trPr>
        <w:tc>
          <w:tcPr>
            <w:tcW w:w="1271" w:type="dxa"/>
            <w:vAlign w:val="center"/>
          </w:tcPr>
          <w:p w14:paraId="1E399926" w14:textId="5B760C8F" w:rsidR="00C1200F" w:rsidRPr="00AD6760" w:rsidRDefault="00C1200F" w:rsidP="00C12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</w:t>
            </w:r>
          </w:p>
        </w:tc>
        <w:tc>
          <w:tcPr>
            <w:tcW w:w="8399" w:type="dxa"/>
          </w:tcPr>
          <w:p w14:paraId="76648AFD" w14:textId="77777777" w:rsidR="00C1200F" w:rsidRPr="00C1200F" w:rsidRDefault="00C1200F" w:rsidP="00C120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Cunoaşterea psihologică a elevilor: necesitatea şi posibilitatea cunoaşterii psihologice, metode de cunoaştere psihologică a elevilor</w:t>
            </w:r>
          </w:p>
          <w:p w14:paraId="22B505D2" w14:textId="177ECBFE" w:rsidR="00C1200F" w:rsidRPr="00C1200F" w:rsidRDefault="00C1200F" w:rsidP="00C120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14:paraId="15AD19EA" w14:textId="1B78F774" w:rsidR="00C1200F" w:rsidRPr="00C1200F" w:rsidRDefault="00C1200F" w:rsidP="00C12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200F" w:rsidRPr="00AD6760" w14:paraId="0CBD9111" w14:textId="77777777" w:rsidTr="136E1F19">
        <w:trPr>
          <w:jc w:val="center"/>
        </w:trPr>
        <w:tc>
          <w:tcPr>
            <w:tcW w:w="1271" w:type="dxa"/>
            <w:vAlign w:val="center"/>
          </w:tcPr>
          <w:p w14:paraId="0C7E9E3C" w14:textId="607A9D58" w:rsidR="00C1200F" w:rsidRPr="00AD6760" w:rsidRDefault="00C1200F" w:rsidP="00C12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XII</w:t>
            </w:r>
          </w:p>
        </w:tc>
        <w:tc>
          <w:tcPr>
            <w:tcW w:w="8399" w:type="dxa"/>
          </w:tcPr>
          <w:p w14:paraId="70892A4D" w14:textId="2EC87599" w:rsidR="00C1200F" w:rsidRPr="00C1200F" w:rsidRDefault="00C1200F" w:rsidP="00C1200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Reuşita şcolară; delimitări conceptuale – reuşită şcolară, succes şcolar, insucces şcolar</w:t>
            </w:r>
          </w:p>
        </w:tc>
        <w:tc>
          <w:tcPr>
            <w:tcW w:w="857" w:type="dxa"/>
            <w:vAlign w:val="center"/>
          </w:tcPr>
          <w:p w14:paraId="5928C940" w14:textId="04F88106" w:rsidR="00C1200F" w:rsidRPr="00C1200F" w:rsidRDefault="00C1200F" w:rsidP="00C120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1200F" w:rsidRPr="00AD6760" w14:paraId="63209E08" w14:textId="77777777" w:rsidTr="136E1F19">
        <w:trPr>
          <w:jc w:val="center"/>
        </w:trPr>
        <w:tc>
          <w:tcPr>
            <w:tcW w:w="1271" w:type="dxa"/>
            <w:vAlign w:val="center"/>
          </w:tcPr>
          <w:p w14:paraId="2277214C" w14:textId="0C6495C7" w:rsidR="00C1200F" w:rsidRDefault="00C1200F" w:rsidP="00C12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XIII</w:t>
            </w:r>
          </w:p>
        </w:tc>
        <w:tc>
          <w:tcPr>
            <w:tcW w:w="8399" w:type="dxa"/>
          </w:tcPr>
          <w:p w14:paraId="4F452B76" w14:textId="4DCA0931" w:rsidR="00C1200F" w:rsidRPr="00C1200F" w:rsidRDefault="00C1200F" w:rsidP="00C1200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P</w:t>
            </w:r>
            <w:r w:rsidRPr="00C1200F">
              <w:rPr>
                <w:rFonts w:ascii="Times New Roman" w:hAnsi="Times New Roman"/>
                <w:sz w:val="24"/>
                <w:szCs w:val="24"/>
              </w:rPr>
              <w:t>rogres</w:t>
            </w:r>
            <w:r w:rsidRPr="00C1200F">
              <w:rPr>
                <w:rFonts w:ascii="Times New Roman" w:hAnsi="Times New Roman"/>
                <w:sz w:val="24"/>
                <w:szCs w:val="24"/>
              </w:rPr>
              <w:t>ul şcolar vs.</w:t>
            </w:r>
            <w:r w:rsidRPr="00C1200F">
              <w:rPr>
                <w:rFonts w:ascii="Times New Roman" w:hAnsi="Times New Roman"/>
                <w:sz w:val="24"/>
                <w:szCs w:val="24"/>
              </w:rPr>
              <w:t xml:space="preserve"> abandon</w:t>
            </w:r>
            <w:r w:rsidRPr="00C1200F">
              <w:rPr>
                <w:rFonts w:ascii="Times New Roman" w:hAnsi="Times New Roman"/>
                <w:sz w:val="24"/>
                <w:szCs w:val="24"/>
              </w:rPr>
              <w:t>ul</w:t>
            </w:r>
            <w:r w:rsidRPr="00C1200F">
              <w:rPr>
                <w:rFonts w:ascii="Times New Roman" w:hAnsi="Times New Roman"/>
                <w:sz w:val="24"/>
                <w:szCs w:val="24"/>
              </w:rPr>
              <w:t xml:space="preserve"> şcolar</w:t>
            </w:r>
            <w:r w:rsidRPr="00C1200F">
              <w:rPr>
                <w:rFonts w:ascii="Times New Roman" w:hAnsi="Times New Roman"/>
                <w:sz w:val="24"/>
                <w:szCs w:val="24"/>
              </w:rPr>
              <w:t>: cauze, manifestări</w:t>
            </w:r>
            <w:r w:rsidRPr="00C1200F">
              <w:rPr>
                <w:rFonts w:ascii="Times New Roman" w:hAnsi="Times New Roman"/>
                <w:sz w:val="24"/>
                <w:szCs w:val="24"/>
              </w:rPr>
              <w:t>; factorii succesului şcolar şi cauze ale insuccesului şcolar</w:t>
            </w:r>
          </w:p>
        </w:tc>
        <w:tc>
          <w:tcPr>
            <w:tcW w:w="857" w:type="dxa"/>
            <w:vAlign w:val="center"/>
          </w:tcPr>
          <w:p w14:paraId="2BA13951" w14:textId="4C7A66B2" w:rsidR="00C1200F" w:rsidRPr="00C1200F" w:rsidRDefault="00C1200F" w:rsidP="00C120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1200F" w:rsidRPr="00AD6760" w14:paraId="05C35370" w14:textId="77777777" w:rsidTr="136E1F19">
        <w:trPr>
          <w:jc w:val="center"/>
        </w:trPr>
        <w:tc>
          <w:tcPr>
            <w:tcW w:w="1271" w:type="dxa"/>
            <w:vAlign w:val="center"/>
          </w:tcPr>
          <w:p w14:paraId="0A267B95" w14:textId="519F425B" w:rsidR="00C1200F" w:rsidRDefault="00C1200F" w:rsidP="00C12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XIV</w:t>
            </w:r>
          </w:p>
        </w:tc>
        <w:tc>
          <w:tcPr>
            <w:tcW w:w="8399" w:type="dxa"/>
          </w:tcPr>
          <w:p w14:paraId="015FB556" w14:textId="2DEDEAE3" w:rsidR="00C1200F" w:rsidRPr="00C1200F" w:rsidRDefault="00C1200F" w:rsidP="00C1200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sz w:val="24"/>
                <w:szCs w:val="24"/>
              </w:rPr>
              <w:t>M</w:t>
            </w:r>
            <w:r w:rsidRPr="00C1200F">
              <w:rPr>
                <w:rFonts w:ascii="Times New Roman" w:hAnsi="Times New Roman"/>
                <w:sz w:val="24"/>
                <w:szCs w:val="24"/>
              </w:rPr>
              <w:t>odalităţi de prevenire şi combatere a eşecului şcolar</w:t>
            </w:r>
            <w:r w:rsidR="00195688">
              <w:rPr>
                <w:rFonts w:ascii="Times New Roman" w:hAnsi="Times New Roman"/>
                <w:sz w:val="24"/>
                <w:szCs w:val="24"/>
              </w:rPr>
              <w:t>, adaptarea curriculară, învățarea centrată pe elev.</w:t>
            </w:r>
          </w:p>
        </w:tc>
        <w:tc>
          <w:tcPr>
            <w:tcW w:w="857" w:type="dxa"/>
            <w:vAlign w:val="center"/>
          </w:tcPr>
          <w:p w14:paraId="4FBC4C2E" w14:textId="0EC29841" w:rsidR="00C1200F" w:rsidRPr="00C1200F" w:rsidRDefault="00C1200F" w:rsidP="00C120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20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1200F" w:rsidRPr="00AD6760" w14:paraId="57D01962" w14:textId="77777777" w:rsidTr="136E1F19">
        <w:trPr>
          <w:jc w:val="center"/>
        </w:trPr>
        <w:tc>
          <w:tcPr>
            <w:tcW w:w="1271" w:type="dxa"/>
          </w:tcPr>
          <w:p w14:paraId="525731DE" w14:textId="77777777" w:rsidR="00C1200F" w:rsidRPr="00AD6760" w:rsidRDefault="00C1200F" w:rsidP="00C12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C1200F" w:rsidRPr="002054AA" w:rsidRDefault="00C1200F" w:rsidP="00C120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67BFF78F" w:rsidR="00C1200F" w:rsidRPr="002054AA" w:rsidRDefault="00C1200F" w:rsidP="00C12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C1200F" w:rsidRPr="00AD6760" w14:paraId="210E37E8" w14:textId="77777777" w:rsidTr="136E1F19">
        <w:trPr>
          <w:jc w:val="center"/>
        </w:trPr>
        <w:tc>
          <w:tcPr>
            <w:tcW w:w="10527" w:type="dxa"/>
            <w:gridSpan w:val="3"/>
          </w:tcPr>
          <w:p w14:paraId="494D1DED" w14:textId="154E14CA" w:rsidR="00C1200F" w:rsidRPr="001F09AB" w:rsidRDefault="00C1200F" w:rsidP="00C120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14:paraId="6DBC5F5B" w14:textId="35432FA8" w:rsidR="00C1200F" w:rsidRPr="001F09AB" w:rsidRDefault="00C1200F" w:rsidP="00F7061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lastRenderedPageBreak/>
              <w:t xml:space="preserve">Ionescu, E. </w:t>
            </w:r>
            <w:r w:rsidR="00F7061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Psihologia Educației</w:t>
            </w:r>
            <w:r w:rsidRPr="001F09A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, Note de curs. </w:t>
            </w:r>
          </w:p>
          <w:p w14:paraId="0D1768D0" w14:textId="77777777" w:rsidR="00F7061C" w:rsidRPr="00F7061C" w:rsidRDefault="00F7061C" w:rsidP="00F7061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 xml:space="preserve">Anghel, E. (2010). </w:t>
            </w:r>
            <w:r w:rsidRPr="00F7061C">
              <w:rPr>
                <w:rFonts w:ascii="Times New Roman" w:hAnsi="Times New Roman"/>
                <w:i/>
                <w:sz w:val="24"/>
                <w:szCs w:val="24"/>
              </w:rPr>
              <w:t>Psihologia educaţiei pe tot parcursul vieţii</w:t>
            </w:r>
            <w:r w:rsidRPr="00F7061C">
              <w:rPr>
                <w:rFonts w:ascii="Times New Roman" w:hAnsi="Times New Roman"/>
                <w:sz w:val="24"/>
                <w:szCs w:val="24"/>
              </w:rPr>
              <w:t>, Bucureşti: Ed. Renaissance;</w:t>
            </w:r>
          </w:p>
          <w:p w14:paraId="561CA131" w14:textId="77777777" w:rsidR="00F7061C" w:rsidRPr="00F7061C" w:rsidRDefault="00F7061C" w:rsidP="00F7061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>Mih V. (2010).</w:t>
            </w:r>
            <w:r w:rsidRPr="00F7061C">
              <w:rPr>
                <w:rFonts w:ascii="Times New Roman" w:hAnsi="Times New Roman"/>
                <w:i/>
                <w:sz w:val="24"/>
                <w:szCs w:val="24"/>
              </w:rPr>
              <w:t>Psihologie educațională</w:t>
            </w:r>
            <w:r w:rsidRPr="00F7061C">
              <w:rPr>
                <w:rFonts w:ascii="Times New Roman" w:hAnsi="Times New Roman"/>
                <w:sz w:val="24"/>
                <w:szCs w:val="24"/>
              </w:rPr>
              <w:t xml:space="preserve">, vol.I., II, Cluj Napoca: Ed.ASCR; </w:t>
            </w:r>
          </w:p>
          <w:p w14:paraId="2360C665" w14:textId="77777777" w:rsidR="00F7061C" w:rsidRPr="00F7061C" w:rsidRDefault="00F7061C" w:rsidP="00F7061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>Neacşu, I.coord.(2010).</w:t>
            </w:r>
            <w:r w:rsidRPr="00F7061C">
              <w:rPr>
                <w:rFonts w:ascii="Times New Roman" w:hAnsi="Times New Roman"/>
                <w:i/>
                <w:sz w:val="24"/>
                <w:szCs w:val="24"/>
              </w:rPr>
              <w:t>Introducere în psihologia educației și a dezvoltării</w:t>
            </w:r>
            <w:r w:rsidRPr="00F7061C">
              <w:rPr>
                <w:rFonts w:ascii="Times New Roman" w:hAnsi="Times New Roman"/>
                <w:sz w:val="24"/>
                <w:szCs w:val="24"/>
              </w:rPr>
              <w:t>, Iași: Polirom;</w:t>
            </w:r>
          </w:p>
          <w:p w14:paraId="52A7D241" w14:textId="77777777" w:rsidR="00F7061C" w:rsidRPr="00F7061C" w:rsidRDefault="00F7061C" w:rsidP="00F7061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>Neacşu, I.coord.(2018).</w:t>
            </w:r>
            <w:r w:rsidRPr="00F7061C">
              <w:rPr>
                <w:rFonts w:ascii="Times New Roman" w:hAnsi="Times New Roman"/>
                <w:i/>
                <w:sz w:val="24"/>
                <w:szCs w:val="24"/>
              </w:rPr>
              <w:t>Psihologia educației</w:t>
            </w:r>
            <w:r w:rsidRPr="00F7061C">
              <w:rPr>
                <w:rFonts w:ascii="Times New Roman" w:hAnsi="Times New Roman"/>
                <w:sz w:val="24"/>
                <w:szCs w:val="24"/>
              </w:rPr>
              <w:t>.Iași: Polirom;</w:t>
            </w:r>
          </w:p>
          <w:p w14:paraId="0B39DEFC" w14:textId="77777777" w:rsidR="00F7061C" w:rsidRPr="00F7061C" w:rsidRDefault="00F7061C" w:rsidP="00F7061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>Sălăvăstru, D. (2004).</w:t>
            </w:r>
            <w:r w:rsidRPr="00F7061C">
              <w:rPr>
                <w:rFonts w:ascii="Times New Roman" w:hAnsi="Times New Roman"/>
                <w:i/>
                <w:sz w:val="24"/>
                <w:szCs w:val="24"/>
              </w:rPr>
              <w:t>Psihologia educaţiei</w:t>
            </w:r>
            <w:r w:rsidRPr="00F7061C">
              <w:rPr>
                <w:rFonts w:ascii="Times New Roman" w:hAnsi="Times New Roman"/>
                <w:sz w:val="24"/>
                <w:szCs w:val="24"/>
              </w:rPr>
              <w:t>, Iaşi: Polirom;</w:t>
            </w:r>
          </w:p>
          <w:p w14:paraId="14F5496B" w14:textId="462C1515" w:rsidR="00C1200F" w:rsidRPr="00391BB3" w:rsidRDefault="00F7061C" w:rsidP="00F7061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>Stănculescu E. (2013).</w:t>
            </w:r>
            <w:r w:rsidRPr="00F7061C">
              <w:rPr>
                <w:rFonts w:ascii="Times New Roman" w:hAnsi="Times New Roman"/>
                <w:i/>
                <w:sz w:val="24"/>
                <w:szCs w:val="24"/>
              </w:rPr>
              <w:t>Psihologia educației.De la teorie la practică</w:t>
            </w:r>
            <w:r w:rsidRPr="00F7061C">
              <w:rPr>
                <w:rFonts w:ascii="Times New Roman" w:hAnsi="Times New Roman"/>
                <w:sz w:val="24"/>
                <w:szCs w:val="24"/>
              </w:rPr>
              <w:t>, București: Ed.Universitară;</w:t>
            </w:r>
          </w:p>
        </w:tc>
      </w:tr>
    </w:tbl>
    <w:p w14:paraId="0CDD3DC7" w14:textId="52BC28E2" w:rsidR="002A2A27" w:rsidRDefault="002A2A27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00CD3703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62E4435F" w:rsidR="00AD6760" w:rsidRPr="00FB55B0" w:rsidRDefault="00745DEC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="00AD6760" w:rsidRPr="00924485" w14:paraId="6B577D84" w14:textId="77777777" w:rsidTr="00CD3703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F7061C" w:rsidRPr="0045017B" w14:paraId="10F798F8" w14:textId="77777777" w:rsidTr="0014626B">
        <w:trPr>
          <w:trHeight w:val="310"/>
          <w:jc w:val="center"/>
        </w:trPr>
        <w:tc>
          <w:tcPr>
            <w:tcW w:w="850" w:type="dxa"/>
          </w:tcPr>
          <w:p w14:paraId="407718C1" w14:textId="77777777" w:rsidR="00F7061C" w:rsidRPr="00FB55B0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vAlign w:val="center"/>
          </w:tcPr>
          <w:p w14:paraId="33FD776F" w14:textId="135DF71C" w:rsidR="00F7061C" w:rsidRPr="00F7061C" w:rsidRDefault="00F7061C" w:rsidP="00F7061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7061C">
              <w:rPr>
                <w:rFonts w:ascii="Times New Roman" w:eastAsia="Calibri" w:hAnsi="Times New Roman"/>
                <w:sz w:val="24"/>
                <w:szCs w:val="24"/>
              </w:rPr>
              <w:t xml:space="preserve">Profesorul: competență didactică și model uman. </w:t>
            </w:r>
          </w:p>
        </w:tc>
        <w:tc>
          <w:tcPr>
            <w:tcW w:w="874" w:type="dxa"/>
            <w:vAlign w:val="center"/>
          </w:tcPr>
          <w:p w14:paraId="1DDBB691" w14:textId="77777777" w:rsidR="00F7061C" w:rsidRPr="00CD3703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061C" w:rsidRPr="0045017B" w14:paraId="41A147A3" w14:textId="77777777" w:rsidTr="00CD3703">
        <w:trPr>
          <w:trHeight w:val="310"/>
          <w:jc w:val="center"/>
        </w:trPr>
        <w:tc>
          <w:tcPr>
            <w:tcW w:w="850" w:type="dxa"/>
          </w:tcPr>
          <w:p w14:paraId="05B40FBB" w14:textId="77777777" w:rsidR="00F7061C" w:rsidRPr="00FB55B0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</w:tcPr>
          <w:p w14:paraId="52FAE8DA" w14:textId="77777777" w:rsidR="00F7061C" w:rsidRPr="00F7061C" w:rsidRDefault="00F7061C" w:rsidP="00F706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7061C">
              <w:rPr>
                <w:rFonts w:ascii="Times New Roman" w:eastAsia="Calibri" w:hAnsi="Times New Roman"/>
                <w:sz w:val="24"/>
                <w:szCs w:val="24"/>
              </w:rPr>
              <w:t>Elevul și familia sa. Implicarea familiei în procesul educațional.</w:t>
            </w:r>
          </w:p>
          <w:p w14:paraId="67CC1DCC" w14:textId="7EC3C670" w:rsidR="00F7061C" w:rsidRPr="00F7061C" w:rsidRDefault="00F7061C" w:rsidP="00F7061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7061C">
              <w:rPr>
                <w:rFonts w:ascii="Times New Roman" w:eastAsia="Calibri" w:hAnsi="Times New Roman"/>
                <w:sz w:val="24"/>
                <w:szCs w:val="24"/>
              </w:rPr>
              <w:t>Rolul factorilor pedagogici în învățarea școlară.</w:t>
            </w:r>
          </w:p>
        </w:tc>
        <w:tc>
          <w:tcPr>
            <w:tcW w:w="874" w:type="dxa"/>
            <w:vAlign w:val="center"/>
          </w:tcPr>
          <w:p w14:paraId="1CA0030A" w14:textId="77777777" w:rsidR="00F7061C" w:rsidRPr="00CD3703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061C" w:rsidRPr="0045017B" w14:paraId="30975062" w14:textId="77777777" w:rsidTr="00CD3703">
        <w:trPr>
          <w:trHeight w:val="310"/>
          <w:jc w:val="center"/>
        </w:trPr>
        <w:tc>
          <w:tcPr>
            <w:tcW w:w="850" w:type="dxa"/>
          </w:tcPr>
          <w:p w14:paraId="63460A1C" w14:textId="77777777" w:rsidR="00F7061C" w:rsidRPr="00FB55B0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14:paraId="10FEC278" w14:textId="2A72C7B7" w:rsidR="00F7061C" w:rsidRPr="00F7061C" w:rsidRDefault="00F7061C" w:rsidP="00F7061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7061C">
              <w:rPr>
                <w:rFonts w:ascii="Times New Roman" w:eastAsia="Calibri" w:hAnsi="Times New Roman"/>
                <w:sz w:val="24"/>
                <w:szCs w:val="24"/>
              </w:rPr>
              <w:t>Motivație și învățare școlară</w:t>
            </w:r>
          </w:p>
        </w:tc>
        <w:tc>
          <w:tcPr>
            <w:tcW w:w="874" w:type="dxa"/>
            <w:vAlign w:val="center"/>
          </w:tcPr>
          <w:p w14:paraId="18773775" w14:textId="6156A29B" w:rsidR="00F7061C" w:rsidRPr="00CD3703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061C" w:rsidRPr="0045017B" w14:paraId="4EC460B4" w14:textId="77777777" w:rsidTr="00CD3703">
        <w:trPr>
          <w:trHeight w:val="310"/>
          <w:jc w:val="center"/>
        </w:trPr>
        <w:tc>
          <w:tcPr>
            <w:tcW w:w="850" w:type="dxa"/>
          </w:tcPr>
          <w:p w14:paraId="37F38104" w14:textId="77777777" w:rsidR="00F7061C" w:rsidRPr="00FB55B0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14:paraId="13A93FE3" w14:textId="78901D5A" w:rsidR="00F7061C" w:rsidRPr="00F7061C" w:rsidRDefault="00F7061C" w:rsidP="00F7061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>Tipuri si forme de învățare (invatarea observationala, invatarea prin descoperire, invatarea experentiala etc): aplicatii practice</w:t>
            </w:r>
          </w:p>
        </w:tc>
        <w:tc>
          <w:tcPr>
            <w:tcW w:w="874" w:type="dxa"/>
            <w:vAlign w:val="center"/>
          </w:tcPr>
          <w:p w14:paraId="5F049B3D" w14:textId="14F2A064" w:rsidR="00F7061C" w:rsidRPr="00CD3703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061C" w:rsidRPr="0045017B" w14:paraId="58CF6DBE" w14:textId="77777777" w:rsidTr="00CD3703">
        <w:trPr>
          <w:trHeight w:val="310"/>
          <w:jc w:val="center"/>
        </w:trPr>
        <w:tc>
          <w:tcPr>
            <w:tcW w:w="850" w:type="dxa"/>
          </w:tcPr>
          <w:p w14:paraId="5EBEC8A8" w14:textId="77777777" w:rsidR="00F7061C" w:rsidRPr="00FB55B0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14:paraId="5824CB1E" w14:textId="1355FF46" w:rsidR="00F7061C" w:rsidRPr="00F7061C" w:rsidRDefault="00F7061C" w:rsidP="00F7061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>Fisa psihopedagogică – instrument de cunoaștere și evaluare a nivelului de dezvoltare a copiilor de vârstă preşcolară şi şcolară mică</w:t>
            </w:r>
          </w:p>
        </w:tc>
        <w:tc>
          <w:tcPr>
            <w:tcW w:w="874" w:type="dxa"/>
            <w:vAlign w:val="center"/>
          </w:tcPr>
          <w:p w14:paraId="169121EE" w14:textId="03AE59AF" w:rsidR="00F7061C" w:rsidRPr="00CD3703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061C" w:rsidRPr="0045017B" w14:paraId="64E74640" w14:textId="77777777" w:rsidTr="00CD3703">
        <w:trPr>
          <w:trHeight w:val="310"/>
          <w:jc w:val="center"/>
        </w:trPr>
        <w:tc>
          <w:tcPr>
            <w:tcW w:w="850" w:type="dxa"/>
          </w:tcPr>
          <w:p w14:paraId="28B1FA66" w14:textId="77777777" w:rsidR="00F7061C" w:rsidRPr="00FB55B0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14:paraId="4EDFF5DE" w14:textId="5189D12F" w:rsidR="00F7061C" w:rsidRPr="00F7061C" w:rsidRDefault="00F7061C" w:rsidP="00F7061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>Cunoaşterea, stimularea şi activarea grupului de elevi – metode și strategii specifice</w:t>
            </w:r>
          </w:p>
        </w:tc>
        <w:tc>
          <w:tcPr>
            <w:tcW w:w="874" w:type="dxa"/>
          </w:tcPr>
          <w:p w14:paraId="00E82530" w14:textId="40F70A09" w:rsidR="00F7061C" w:rsidRPr="00CD3703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061C" w:rsidRPr="0045017B" w14:paraId="35C80DE4" w14:textId="77777777" w:rsidTr="00CD3703">
        <w:trPr>
          <w:trHeight w:val="310"/>
          <w:jc w:val="center"/>
        </w:trPr>
        <w:tc>
          <w:tcPr>
            <w:tcW w:w="850" w:type="dxa"/>
          </w:tcPr>
          <w:p w14:paraId="177EFEB6" w14:textId="77777777" w:rsidR="00F7061C" w:rsidRPr="00FB55B0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14:paraId="7DFE5BEA" w14:textId="19FD2196" w:rsidR="00F7061C" w:rsidRPr="00F7061C" w:rsidRDefault="00F7061C" w:rsidP="00F7061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7061C">
              <w:rPr>
                <w:rFonts w:ascii="Times New Roman" w:eastAsia="Calibri" w:hAnsi="Times New Roman"/>
                <w:sz w:val="24"/>
                <w:szCs w:val="24"/>
              </w:rPr>
              <w:t>Programe de intervenție în prevenirea insuccesului școlar.</w:t>
            </w:r>
          </w:p>
        </w:tc>
        <w:tc>
          <w:tcPr>
            <w:tcW w:w="874" w:type="dxa"/>
          </w:tcPr>
          <w:p w14:paraId="22190B02" w14:textId="77777777" w:rsidR="00F7061C" w:rsidRPr="00CD3703" w:rsidRDefault="00F7061C" w:rsidP="00F70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55DB" w:rsidRPr="0045017B" w14:paraId="73EE7879" w14:textId="77777777" w:rsidTr="00CD3703">
        <w:trPr>
          <w:jc w:val="center"/>
        </w:trPr>
        <w:tc>
          <w:tcPr>
            <w:tcW w:w="850" w:type="dxa"/>
          </w:tcPr>
          <w:p w14:paraId="56C9A637" w14:textId="77777777" w:rsidR="00E055DB" w:rsidRPr="00FB55B0" w:rsidRDefault="00E055DB" w:rsidP="00E0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10FA6346" w14:textId="77777777" w:rsidR="00E055DB" w:rsidRPr="00FB55B0" w:rsidRDefault="00E055DB" w:rsidP="00E055D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14:paraId="70BF3F5B" w14:textId="4FB42176" w:rsidR="00E055DB" w:rsidRPr="00FB55B0" w:rsidRDefault="00E055DB" w:rsidP="00E05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E055DB" w:rsidRPr="0045017B" w14:paraId="4A9FE7DB" w14:textId="77777777" w:rsidTr="00391BB3">
        <w:trPr>
          <w:trHeight w:val="734"/>
          <w:jc w:val="center"/>
        </w:trPr>
        <w:tc>
          <w:tcPr>
            <w:tcW w:w="10464" w:type="dxa"/>
            <w:gridSpan w:val="3"/>
          </w:tcPr>
          <w:p w14:paraId="7F695DA8" w14:textId="2CF40FE7" w:rsidR="00E055DB" w:rsidRPr="00BD3298" w:rsidRDefault="00E055DB" w:rsidP="00E055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Bibliografie:</w:t>
            </w:r>
          </w:p>
          <w:p w14:paraId="74B4683D" w14:textId="77777777" w:rsidR="00F7061C" w:rsidRPr="00F7061C" w:rsidRDefault="00F7061C" w:rsidP="00F7061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>Anghel, E. (2010). Psihologia educaţiei pe tot parcursul vieţii, Bucureşti: Ed. Renaissance;</w:t>
            </w:r>
          </w:p>
          <w:p w14:paraId="480FF055" w14:textId="77777777" w:rsidR="00F7061C" w:rsidRPr="00F7061C" w:rsidRDefault="00F7061C" w:rsidP="00F7061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 xml:space="preserve">Mih V. (2010).Psihologie educațională, vol.I., II, Cluj Napoca: Ed.ASCR; </w:t>
            </w:r>
          </w:p>
          <w:p w14:paraId="2683D69B" w14:textId="77777777" w:rsidR="00F7061C" w:rsidRPr="00F7061C" w:rsidRDefault="00F7061C" w:rsidP="00F7061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>Neacşu, I.coord.(2010).Introducere în psihologia educației și a dezvoltării, Iași: Polirom;</w:t>
            </w:r>
          </w:p>
          <w:p w14:paraId="2ACCB71A" w14:textId="77777777" w:rsidR="00F7061C" w:rsidRPr="00F7061C" w:rsidRDefault="00F7061C" w:rsidP="00F7061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>Neacşu, I.coord.(2018).Psihologia educației.Iași: Polirom;</w:t>
            </w:r>
          </w:p>
          <w:p w14:paraId="0A991C2B" w14:textId="77777777" w:rsidR="00F7061C" w:rsidRPr="00F7061C" w:rsidRDefault="00F7061C" w:rsidP="00F7061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>Sălăvăstru, D. (2004).Psihologia educaţiei, Iaşi: Polirom;</w:t>
            </w:r>
          </w:p>
          <w:p w14:paraId="54BBFB2E" w14:textId="2EDA482F" w:rsidR="00E055DB" w:rsidRPr="000C61AA" w:rsidRDefault="00F7061C" w:rsidP="00F7061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7061C">
              <w:rPr>
                <w:rFonts w:ascii="Times New Roman" w:hAnsi="Times New Roman"/>
                <w:sz w:val="24"/>
                <w:szCs w:val="24"/>
              </w:rPr>
              <w:t>Stănculescu E. (2013).Psihologia educației.De la teorie la practică, București: Ed.Universitară;</w:t>
            </w:r>
          </w:p>
        </w:tc>
      </w:tr>
    </w:tbl>
    <w:p w14:paraId="064EE042" w14:textId="77777777" w:rsidR="00391BB3" w:rsidRDefault="00391BB3" w:rsidP="000B3BD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C315FAD" w14:textId="5DAB0E42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="002A0FC9" w:rsidRPr="0007194F" w14:paraId="7D21E95E" w14:textId="77777777" w:rsidTr="00F33143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F33143" w:rsidRPr="0007194F" w14:paraId="74C75806" w14:textId="77777777" w:rsidTr="00B34B74">
        <w:trPr>
          <w:trHeight w:val="1932"/>
        </w:trPr>
        <w:tc>
          <w:tcPr>
            <w:tcW w:w="2682" w:type="dxa"/>
          </w:tcPr>
          <w:p w14:paraId="1902AF24" w14:textId="77777777" w:rsidR="00F33143" w:rsidRPr="0007194F" w:rsidRDefault="00F33143" w:rsidP="00F33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848" w:type="dxa"/>
            <w:shd w:val="clear" w:color="auto" w:fill="D9D9D9" w:themeFill="background1" w:themeFillShade="D9"/>
            <w:vAlign w:val="center"/>
          </w:tcPr>
          <w:p w14:paraId="34374D1F" w14:textId="77777777" w:rsidR="00F33143" w:rsidRPr="00F33143" w:rsidRDefault="00F33143" w:rsidP="00F33143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3143">
              <w:rPr>
                <w:rFonts w:ascii="Times New Roman" w:hAnsi="Times New Roman"/>
                <w:iCs/>
                <w:sz w:val="24"/>
                <w:szCs w:val="24"/>
              </w:rPr>
              <w:t>Corectitudinea şi completitudinea cunoştinţelor</w:t>
            </w:r>
          </w:p>
          <w:p w14:paraId="48967BEC" w14:textId="77777777" w:rsidR="00F33143" w:rsidRPr="00F33143" w:rsidRDefault="00F33143" w:rsidP="00F33143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3143">
              <w:rPr>
                <w:rFonts w:ascii="Times New Roman" w:hAnsi="Times New Roman"/>
                <w:iCs/>
                <w:sz w:val="24"/>
                <w:szCs w:val="24"/>
              </w:rPr>
              <w:t>Capacitatea de a sintetiza şi aplica cunoştinţele teoretice</w:t>
            </w:r>
          </w:p>
          <w:p w14:paraId="501CE885" w14:textId="77777777" w:rsidR="00F33143" w:rsidRPr="00F33143" w:rsidRDefault="00F33143" w:rsidP="00F33143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314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14:paraId="1705B273" w14:textId="001123B7" w:rsidR="00F33143" w:rsidRPr="00B34B74" w:rsidRDefault="00F33143" w:rsidP="00F3314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33143">
              <w:rPr>
                <w:rFonts w:ascii="Times New Roman" w:hAnsi="Times New Roman"/>
                <w:iCs/>
                <w:sz w:val="24"/>
                <w:szCs w:val="24"/>
              </w:rPr>
              <w:t>Coerenţa logică în tratarea subiectelor</w:t>
            </w:r>
          </w:p>
        </w:tc>
        <w:tc>
          <w:tcPr>
            <w:tcW w:w="2035" w:type="dxa"/>
            <w:vAlign w:val="center"/>
          </w:tcPr>
          <w:p w14:paraId="509BAC5C" w14:textId="65214A66" w:rsidR="00F33143" w:rsidRPr="00B34B74" w:rsidRDefault="00F33143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t xml:space="preserve">Examen </w:t>
            </w:r>
            <w:r w:rsidR="00B02612">
              <w:rPr>
                <w:rFonts w:ascii="Times New Roman" w:hAnsi="Times New Roman"/>
                <w:iCs/>
                <w:sz w:val="24"/>
                <w:szCs w:val="24"/>
              </w:rPr>
              <w:t>scris</w:t>
            </w:r>
          </w:p>
        </w:tc>
        <w:tc>
          <w:tcPr>
            <w:tcW w:w="1891" w:type="dxa"/>
            <w:vAlign w:val="center"/>
          </w:tcPr>
          <w:p w14:paraId="7F30234E" w14:textId="248E9D99" w:rsidR="00F33143" w:rsidRPr="00B34B74" w:rsidRDefault="00005E6B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F33143" w:rsidRP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="00B34B74" w:rsidRPr="0007194F" w14:paraId="0F7F8DD7" w14:textId="77777777" w:rsidTr="00B34B74">
        <w:trPr>
          <w:trHeight w:val="135"/>
        </w:trPr>
        <w:tc>
          <w:tcPr>
            <w:tcW w:w="2682" w:type="dxa"/>
            <w:vMerge w:val="restart"/>
          </w:tcPr>
          <w:p w14:paraId="5AF7BC1E" w14:textId="592DDBB4" w:rsidR="00B34B74" w:rsidRPr="0007194F" w:rsidRDefault="00B34B74" w:rsidP="00B34B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</w:p>
        </w:tc>
        <w:tc>
          <w:tcPr>
            <w:tcW w:w="3848" w:type="dxa"/>
            <w:shd w:val="clear" w:color="auto" w:fill="D9D9D9" w:themeFill="background1" w:themeFillShade="D9"/>
            <w:vAlign w:val="center"/>
          </w:tcPr>
          <w:p w14:paraId="7113A5BF" w14:textId="77777777" w:rsidR="00B34B74" w:rsidRPr="00B34B74" w:rsidRDefault="00B34B74" w:rsidP="00B34B74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t>Corectitudinea şi completitudinea cunoştinţelor</w:t>
            </w:r>
          </w:p>
          <w:p w14:paraId="19CA94CA" w14:textId="77777777" w:rsidR="00B34B74" w:rsidRPr="00B34B74" w:rsidRDefault="00B34B74" w:rsidP="00B34B74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t>Capacitatea de a sintetiza şi aplica cunoştinţele teoretice</w:t>
            </w:r>
          </w:p>
          <w:p w14:paraId="0BBABB5D" w14:textId="77777777" w:rsidR="00B34B74" w:rsidRPr="00B34B74" w:rsidRDefault="00B34B74" w:rsidP="00B34B74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14:paraId="6CF8B18C" w14:textId="15B2982F" w:rsidR="00B34B74" w:rsidRPr="00B34B74" w:rsidRDefault="00B34B74" w:rsidP="00B34B7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Coerenţa logică în tratarea subiectelor</w:t>
            </w:r>
          </w:p>
        </w:tc>
        <w:tc>
          <w:tcPr>
            <w:tcW w:w="2035" w:type="dxa"/>
            <w:vAlign w:val="center"/>
          </w:tcPr>
          <w:p w14:paraId="4FCA369D" w14:textId="33260D10" w:rsidR="00B34B74" w:rsidRPr="00B34B74" w:rsidRDefault="00B34B74" w:rsidP="00B34B74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 w:rsidRPr="00B34B74">
              <w:rPr>
                <w:iCs/>
                <w:sz w:val="24"/>
                <w:szCs w:val="24"/>
              </w:rPr>
              <w:lastRenderedPageBreak/>
              <w:t>Referat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B34B74">
              <w:rPr>
                <w:iCs/>
                <w:sz w:val="24"/>
                <w:szCs w:val="24"/>
              </w:rPr>
              <w:t>(evaluare formativă/ continuă)</w:t>
            </w:r>
          </w:p>
          <w:p w14:paraId="1BC04238" w14:textId="11BF176F" w:rsidR="00B34B74" w:rsidRPr="00B34B74" w:rsidRDefault="00B34B74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14:paraId="39B929A6" w14:textId="62E84630" w:rsidR="00B34B74" w:rsidRPr="00B34B74" w:rsidRDefault="00005E6B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B34B74" w:rsidRP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="00B34B74" w:rsidRPr="0007194F" w14:paraId="2B4116DF" w14:textId="77777777" w:rsidTr="00B34B74">
        <w:trPr>
          <w:trHeight w:val="135"/>
        </w:trPr>
        <w:tc>
          <w:tcPr>
            <w:tcW w:w="2682" w:type="dxa"/>
            <w:vMerge/>
          </w:tcPr>
          <w:p w14:paraId="2B711DFD" w14:textId="77777777" w:rsidR="00B34B74" w:rsidRPr="0007194F" w:rsidRDefault="00B34B74" w:rsidP="00B34B7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shd w:val="clear" w:color="auto" w:fill="D9D9D9" w:themeFill="background1" w:themeFillShade="D9"/>
          </w:tcPr>
          <w:p w14:paraId="2D98452F" w14:textId="6DA4BD45" w:rsidR="00B34B74" w:rsidRPr="00B34B74" w:rsidRDefault="00B34B74" w:rsidP="00B34B7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t>Completitudinea și corectitudinea alcătuirii  portofoliului</w:t>
            </w:r>
          </w:p>
        </w:tc>
        <w:tc>
          <w:tcPr>
            <w:tcW w:w="2035" w:type="dxa"/>
            <w:vAlign w:val="center"/>
          </w:tcPr>
          <w:p w14:paraId="45A2E07C" w14:textId="1B9DFF40" w:rsidR="00B34B74" w:rsidRPr="00B34B74" w:rsidRDefault="00B34B74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B74">
              <w:rPr>
                <w:rFonts w:ascii="Times New Roman" w:hAnsi="Times New Roman"/>
                <w:iCs/>
                <w:sz w:val="24"/>
                <w:szCs w:val="24"/>
              </w:rPr>
              <w:t>Portofoliu</w:t>
            </w:r>
          </w:p>
        </w:tc>
        <w:tc>
          <w:tcPr>
            <w:tcW w:w="1891" w:type="dxa"/>
            <w:vAlign w:val="center"/>
          </w:tcPr>
          <w:p w14:paraId="148AC8AB" w14:textId="4A789A2B" w:rsidR="00B34B74" w:rsidRPr="00B34B74" w:rsidRDefault="00005E6B" w:rsidP="00B34B7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B34B74" w:rsidRP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="00B34B74" w:rsidRPr="00F4549C" w14:paraId="45DF9D34" w14:textId="77777777" w:rsidTr="5B486057">
        <w:tc>
          <w:tcPr>
            <w:tcW w:w="10456" w:type="dxa"/>
            <w:gridSpan w:val="4"/>
          </w:tcPr>
          <w:p w14:paraId="7B173F2D" w14:textId="0271C666" w:rsidR="00B34B74" w:rsidRPr="00F4549C" w:rsidRDefault="00B34B74" w:rsidP="00B3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</w:p>
        </w:tc>
      </w:tr>
      <w:tr w:rsidR="00B34B74" w:rsidRPr="0007194F" w14:paraId="61E018F6" w14:textId="77777777" w:rsidTr="5B486057">
        <w:tc>
          <w:tcPr>
            <w:tcW w:w="10456" w:type="dxa"/>
            <w:gridSpan w:val="4"/>
          </w:tcPr>
          <w:p w14:paraId="0253BF57" w14:textId="2B9E5081" w:rsidR="00B34B74" w:rsidRPr="00F4549C" w:rsidRDefault="00B34B74" w:rsidP="00F4549C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14:paraId="30D7B7C9" w14:textId="65EE9D24" w:rsidR="00DC450D" w:rsidRPr="00F4549C" w:rsidRDefault="00DC450D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14:paraId="78BF18FD" w14:textId="77777777" w:rsidTr="003075CA">
        <w:tc>
          <w:tcPr>
            <w:tcW w:w="2207" w:type="dxa"/>
          </w:tcPr>
          <w:p w14:paraId="02838116" w14:textId="77777777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1CCFE5DE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14:paraId="40DB0ACA" w14:textId="6E5D9E53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</w:tc>
        <w:tc>
          <w:tcPr>
            <w:tcW w:w="3982" w:type="dxa"/>
          </w:tcPr>
          <w:p w14:paraId="2E39C173" w14:textId="60531BE9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</w:tc>
      </w:tr>
      <w:tr w:rsidR="00391BB3" w14:paraId="6FD081A3" w14:textId="77777777" w:rsidTr="003075CA">
        <w:tc>
          <w:tcPr>
            <w:tcW w:w="2207" w:type="dxa"/>
          </w:tcPr>
          <w:p w14:paraId="346C1E2C" w14:textId="77777777" w:rsidR="00391BB3" w:rsidRDefault="00391BB3" w:rsidP="00391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6F62AB15" w:rsidR="00391BB3" w:rsidRDefault="00391BB3" w:rsidP="005001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Eduard IONESCU</w:t>
            </w: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30338968" w:rsidR="00391BB3" w:rsidRDefault="00391BB3" w:rsidP="005001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Eduard IONESCU</w:t>
            </w: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0457E6C2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2E954C" w14:textId="3B3C620A" w:rsidR="00407F92" w:rsidRDefault="00407F92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14:paraId="56E69400" w14:textId="3D50DC56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9CF9E52" w14:textId="246447C5" w:rsidR="003C6DC8" w:rsidRDefault="00F4549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14:paraId="2497EC3C" w14:textId="7393879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14:paraId="49BB8357" w14:textId="1808CC7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F4549C">
        <w:trPr>
          <w:trHeight w:val="777"/>
        </w:trPr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4EF5EE6" w14:textId="2E18657D" w:rsidR="00407F92" w:rsidRDefault="00407F92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3614F58B" w:rsidR="003075CA" w:rsidRDefault="00B4650B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4F7E3907" w14:textId="3DBFBA90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AB3D3F4" w14:textId="4845AF49" w:rsidR="00F4549C" w:rsidRDefault="00F4549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F96B2" w14:textId="77777777" w:rsidR="00A41B15" w:rsidRDefault="00A41B15" w:rsidP="006B0230">
      <w:pPr>
        <w:spacing w:after="0" w:line="240" w:lineRule="auto"/>
      </w:pPr>
      <w:r>
        <w:separator/>
      </w:r>
    </w:p>
  </w:endnote>
  <w:endnote w:type="continuationSeparator" w:id="0">
    <w:p w14:paraId="62E72354" w14:textId="77777777" w:rsidR="00A41B15" w:rsidRDefault="00A41B15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419B6" w14:textId="77777777" w:rsidR="00407F92" w:rsidRDefault="00407F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AFC9A" w14:textId="77777777" w:rsidR="00407F92" w:rsidRDefault="00407F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A7AC4" w14:textId="77777777" w:rsidR="00407F92" w:rsidRDefault="00407F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8B8DD" w14:textId="77777777" w:rsidR="00A41B15" w:rsidRDefault="00A41B15" w:rsidP="006B0230">
      <w:pPr>
        <w:spacing w:after="0" w:line="240" w:lineRule="auto"/>
      </w:pPr>
      <w:r>
        <w:separator/>
      </w:r>
    </w:p>
  </w:footnote>
  <w:footnote w:type="continuationSeparator" w:id="0">
    <w:p w14:paraId="4E6E4F70" w14:textId="77777777" w:rsidR="00A41B15" w:rsidRDefault="00A41B15" w:rsidP="006B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E004F" w14:textId="77777777" w:rsidR="00407F92" w:rsidRDefault="00407F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shd w:val="clear" w:color="auto" w:fill="auto"/>
          <w:vAlign w:val="center"/>
        </w:tcPr>
        <w:p w14:paraId="400B37D6" w14:textId="3A1CD927" w:rsidR="00D27462" w:rsidRPr="00504204" w:rsidRDefault="00D27462" w:rsidP="00563549">
          <w:pPr>
            <w:pStyle w:val="Header"/>
            <w:spacing w:after="0"/>
          </w:pPr>
        </w:p>
      </w:tc>
      <w:tc>
        <w:tcPr>
          <w:tcW w:w="3732" w:type="pct"/>
          <w:shd w:val="clear" w:color="auto" w:fill="auto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301627E6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shd w:val="clear" w:color="auto" w:fill="auto"/>
          <w:vAlign w:val="center"/>
        </w:tcPr>
        <w:p w14:paraId="1F52E6CC" w14:textId="7C779D27" w:rsidR="00D27462" w:rsidRPr="00504204" w:rsidRDefault="00353AA1" w:rsidP="00D27462">
          <w:pPr>
            <w:pStyle w:val="Header"/>
            <w:spacing w:after="0"/>
            <w:jc w:val="center"/>
          </w:pPr>
          <w:r>
            <w:t>Sigla facultății</w:t>
          </w:r>
        </w:p>
      </w:tc>
    </w:tr>
  </w:tbl>
  <w:p w14:paraId="3FFC0D45" w14:textId="14BCCAFC" w:rsidR="006B0230" w:rsidRDefault="00042830" w:rsidP="00563549">
    <w:pPr>
      <w:pStyle w:val="Header"/>
      <w:tabs>
        <w:tab w:val="clear" w:pos="4680"/>
        <w:tab w:val="clear" w:pos="9360"/>
        <w:tab w:val="left" w:pos="3583"/>
      </w:tabs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34B3A" w14:textId="77777777" w:rsidR="00407F92" w:rsidRDefault="00407F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2931"/>
    <w:multiLevelType w:val="hybridMultilevel"/>
    <w:tmpl w:val="93FEFC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8BA6565"/>
    <w:multiLevelType w:val="hybridMultilevel"/>
    <w:tmpl w:val="46965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01A11"/>
    <w:multiLevelType w:val="hybridMultilevel"/>
    <w:tmpl w:val="506EE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41196"/>
    <w:multiLevelType w:val="hybridMultilevel"/>
    <w:tmpl w:val="517ED500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55F95"/>
    <w:multiLevelType w:val="hybridMultilevel"/>
    <w:tmpl w:val="23E6B2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F264A7"/>
    <w:multiLevelType w:val="hybridMultilevel"/>
    <w:tmpl w:val="4DF296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1" w15:restartNumberingAfterBreak="0">
    <w:nsid w:val="73246B21"/>
    <w:multiLevelType w:val="hybridMultilevel"/>
    <w:tmpl w:val="2348D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2"/>
  </w:num>
  <w:num w:numId="4">
    <w:abstractNumId w:val="28"/>
  </w:num>
  <w:num w:numId="5">
    <w:abstractNumId w:val="21"/>
  </w:num>
  <w:num w:numId="6">
    <w:abstractNumId w:val="3"/>
  </w:num>
  <w:num w:numId="7">
    <w:abstractNumId w:val="5"/>
  </w:num>
  <w:num w:numId="8">
    <w:abstractNumId w:val="15"/>
  </w:num>
  <w:num w:numId="9">
    <w:abstractNumId w:val="34"/>
  </w:num>
  <w:num w:numId="10">
    <w:abstractNumId w:val="19"/>
  </w:num>
  <w:num w:numId="11">
    <w:abstractNumId w:val="6"/>
  </w:num>
  <w:num w:numId="12">
    <w:abstractNumId w:val="30"/>
  </w:num>
  <w:num w:numId="13">
    <w:abstractNumId w:val="24"/>
  </w:num>
  <w:num w:numId="14">
    <w:abstractNumId w:val="26"/>
  </w:num>
  <w:num w:numId="15">
    <w:abstractNumId w:val="25"/>
  </w:num>
  <w:num w:numId="16">
    <w:abstractNumId w:val="10"/>
  </w:num>
  <w:num w:numId="17">
    <w:abstractNumId w:val="4"/>
  </w:num>
  <w:num w:numId="18">
    <w:abstractNumId w:val="29"/>
  </w:num>
  <w:num w:numId="19">
    <w:abstractNumId w:val="11"/>
  </w:num>
  <w:num w:numId="20">
    <w:abstractNumId w:val="32"/>
  </w:num>
  <w:num w:numId="21">
    <w:abstractNumId w:val="8"/>
  </w:num>
  <w:num w:numId="22">
    <w:abstractNumId w:val="35"/>
  </w:num>
  <w:num w:numId="23">
    <w:abstractNumId w:val="9"/>
  </w:num>
  <w:num w:numId="24">
    <w:abstractNumId w:val="33"/>
  </w:num>
  <w:num w:numId="25">
    <w:abstractNumId w:val="22"/>
  </w:num>
  <w:num w:numId="26">
    <w:abstractNumId w:val="1"/>
  </w:num>
  <w:num w:numId="27">
    <w:abstractNumId w:val="7"/>
  </w:num>
  <w:num w:numId="28">
    <w:abstractNumId w:val="16"/>
  </w:num>
  <w:num w:numId="29">
    <w:abstractNumId w:val="23"/>
  </w:num>
  <w:num w:numId="30">
    <w:abstractNumId w:val="31"/>
  </w:num>
  <w:num w:numId="31">
    <w:abstractNumId w:val="14"/>
  </w:num>
  <w:num w:numId="32">
    <w:abstractNumId w:val="13"/>
  </w:num>
  <w:num w:numId="33">
    <w:abstractNumId w:val="18"/>
  </w:num>
  <w:num w:numId="34">
    <w:abstractNumId w:val="27"/>
  </w:num>
  <w:num w:numId="35">
    <w:abstractNumId w:val="17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F77"/>
    <w:rsid w:val="00001821"/>
    <w:rsid w:val="000047A4"/>
    <w:rsid w:val="00005E6B"/>
    <w:rsid w:val="000067D9"/>
    <w:rsid w:val="00013988"/>
    <w:rsid w:val="00021355"/>
    <w:rsid w:val="00023CD4"/>
    <w:rsid w:val="00024FEB"/>
    <w:rsid w:val="00032DD1"/>
    <w:rsid w:val="00042830"/>
    <w:rsid w:val="00046995"/>
    <w:rsid w:val="00051BDC"/>
    <w:rsid w:val="00057E55"/>
    <w:rsid w:val="0007008C"/>
    <w:rsid w:val="0007194F"/>
    <w:rsid w:val="00072B00"/>
    <w:rsid w:val="00077E6C"/>
    <w:rsid w:val="0008100D"/>
    <w:rsid w:val="000834E5"/>
    <w:rsid w:val="00085094"/>
    <w:rsid w:val="000A3009"/>
    <w:rsid w:val="000A5A59"/>
    <w:rsid w:val="000B053A"/>
    <w:rsid w:val="000B1429"/>
    <w:rsid w:val="000B2711"/>
    <w:rsid w:val="000B3BD0"/>
    <w:rsid w:val="000C2BD3"/>
    <w:rsid w:val="000C61AA"/>
    <w:rsid w:val="000E0211"/>
    <w:rsid w:val="000E0F5C"/>
    <w:rsid w:val="000E3686"/>
    <w:rsid w:val="000E4FBF"/>
    <w:rsid w:val="00101A4C"/>
    <w:rsid w:val="001104F4"/>
    <w:rsid w:val="001177E6"/>
    <w:rsid w:val="001317BB"/>
    <w:rsid w:val="0013302B"/>
    <w:rsid w:val="00135C3A"/>
    <w:rsid w:val="00136B06"/>
    <w:rsid w:val="00140EB3"/>
    <w:rsid w:val="00155123"/>
    <w:rsid w:val="00161CC5"/>
    <w:rsid w:val="00182C22"/>
    <w:rsid w:val="001878EA"/>
    <w:rsid w:val="00195688"/>
    <w:rsid w:val="00196FD8"/>
    <w:rsid w:val="00197410"/>
    <w:rsid w:val="001A4FAE"/>
    <w:rsid w:val="001A6CC3"/>
    <w:rsid w:val="001A7391"/>
    <w:rsid w:val="001B1678"/>
    <w:rsid w:val="001B1709"/>
    <w:rsid w:val="001B1D5F"/>
    <w:rsid w:val="001B2D42"/>
    <w:rsid w:val="001B6453"/>
    <w:rsid w:val="001D3204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5272"/>
    <w:rsid w:val="00241E04"/>
    <w:rsid w:val="00246F30"/>
    <w:rsid w:val="00251256"/>
    <w:rsid w:val="002517A0"/>
    <w:rsid w:val="002522F4"/>
    <w:rsid w:val="00253624"/>
    <w:rsid w:val="002625B0"/>
    <w:rsid w:val="00267ECC"/>
    <w:rsid w:val="00273EA3"/>
    <w:rsid w:val="0027455B"/>
    <w:rsid w:val="002812A5"/>
    <w:rsid w:val="00285303"/>
    <w:rsid w:val="00287260"/>
    <w:rsid w:val="00287CBE"/>
    <w:rsid w:val="00291777"/>
    <w:rsid w:val="00294A50"/>
    <w:rsid w:val="00294E49"/>
    <w:rsid w:val="002A0A18"/>
    <w:rsid w:val="002A0FC9"/>
    <w:rsid w:val="002A2A27"/>
    <w:rsid w:val="002A7986"/>
    <w:rsid w:val="002B2D67"/>
    <w:rsid w:val="002C3E30"/>
    <w:rsid w:val="002C5D1B"/>
    <w:rsid w:val="002C7828"/>
    <w:rsid w:val="002C7C5A"/>
    <w:rsid w:val="002D5B8A"/>
    <w:rsid w:val="002D606A"/>
    <w:rsid w:val="002D6227"/>
    <w:rsid w:val="002E3E12"/>
    <w:rsid w:val="002E5ECA"/>
    <w:rsid w:val="002F0971"/>
    <w:rsid w:val="00301FF6"/>
    <w:rsid w:val="00302FF7"/>
    <w:rsid w:val="003075CA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15D2"/>
    <w:rsid w:val="00351DD4"/>
    <w:rsid w:val="00353AA1"/>
    <w:rsid w:val="0035685D"/>
    <w:rsid w:val="00363560"/>
    <w:rsid w:val="00364359"/>
    <w:rsid w:val="00364C75"/>
    <w:rsid w:val="003665AD"/>
    <w:rsid w:val="003679B5"/>
    <w:rsid w:val="0037177D"/>
    <w:rsid w:val="003806E1"/>
    <w:rsid w:val="00391BB3"/>
    <w:rsid w:val="00391DFE"/>
    <w:rsid w:val="003A44E3"/>
    <w:rsid w:val="003B3669"/>
    <w:rsid w:val="003B55E2"/>
    <w:rsid w:val="003B5A02"/>
    <w:rsid w:val="003B7974"/>
    <w:rsid w:val="003C430C"/>
    <w:rsid w:val="003C6DC8"/>
    <w:rsid w:val="003D0D85"/>
    <w:rsid w:val="003D1D3B"/>
    <w:rsid w:val="003E4A22"/>
    <w:rsid w:val="003E72A5"/>
    <w:rsid w:val="003E7F77"/>
    <w:rsid w:val="003F253C"/>
    <w:rsid w:val="003F49D3"/>
    <w:rsid w:val="00405D76"/>
    <w:rsid w:val="0040718D"/>
    <w:rsid w:val="00407F92"/>
    <w:rsid w:val="004144E3"/>
    <w:rsid w:val="00414517"/>
    <w:rsid w:val="0042161F"/>
    <w:rsid w:val="00421BC5"/>
    <w:rsid w:val="00426218"/>
    <w:rsid w:val="0043585E"/>
    <w:rsid w:val="00436AD6"/>
    <w:rsid w:val="0044630F"/>
    <w:rsid w:val="00450A21"/>
    <w:rsid w:val="00453037"/>
    <w:rsid w:val="004662C2"/>
    <w:rsid w:val="004671D0"/>
    <w:rsid w:val="00473190"/>
    <w:rsid w:val="00475A89"/>
    <w:rsid w:val="00482712"/>
    <w:rsid w:val="004924E0"/>
    <w:rsid w:val="004971AD"/>
    <w:rsid w:val="00497817"/>
    <w:rsid w:val="004A05A3"/>
    <w:rsid w:val="004C3756"/>
    <w:rsid w:val="004D278A"/>
    <w:rsid w:val="004D4A49"/>
    <w:rsid w:val="004E0155"/>
    <w:rsid w:val="004E4A0B"/>
    <w:rsid w:val="004F426F"/>
    <w:rsid w:val="004F6CD3"/>
    <w:rsid w:val="00500159"/>
    <w:rsid w:val="005013E2"/>
    <w:rsid w:val="00502C98"/>
    <w:rsid w:val="00520480"/>
    <w:rsid w:val="00524180"/>
    <w:rsid w:val="00524B59"/>
    <w:rsid w:val="00530A49"/>
    <w:rsid w:val="00532F3D"/>
    <w:rsid w:val="00533847"/>
    <w:rsid w:val="00533EB9"/>
    <w:rsid w:val="00536B72"/>
    <w:rsid w:val="00557CE5"/>
    <w:rsid w:val="00563549"/>
    <w:rsid w:val="00575ADC"/>
    <w:rsid w:val="00576EC0"/>
    <w:rsid w:val="0058346F"/>
    <w:rsid w:val="00587DCE"/>
    <w:rsid w:val="005976E7"/>
    <w:rsid w:val="005A12E1"/>
    <w:rsid w:val="005A4B4E"/>
    <w:rsid w:val="005B359D"/>
    <w:rsid w:val="005B402D"/>
    <w:rsid w:val="005B44A8"/>
    <w:rsid w:val="005B6FC7"/>
    <w:rsid w:val="005C23EC"/>
    <w:rsid w:val="005C2504"/>
    <w:rsid w:val="005D2AE2"/>
    <w:rsid w:val="005D3FE5"/>
    <w:rsid w:val="005E0DA1"/>
    <w:rsid w:val="005E11F6"/>
    <w:rsid w:val="005E20A7"/>
    <w:rsid w:val="006009E3"/>
    <w:rsid w:val="006075EF"/>
    <w:rsid w:val="00630381"/>
    <w:rsid w:val="00633533"/>
    <w:rsid w:val="00637494"/>
    <w:rsid w:val="00637B47"/>
    <w:rsid w:val="00640429"/>
    <w:rsid w:val="00640681"/>
    <w:rsid w:val="00642C08"/>
    <w:rsid w:val="0065472F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B0230"/>
    <w:rsid w:val="006B04FD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22B4"/>
    <w:rsid w:val="007209ED"/>
    <w:rsid w:val="0072399F"/>
    <w:rsid w:val="00723DB0"/>
    <w:rsid w:val="00730CEE"/>
    <w:rsid w:val="00733BD4"/>
    <w:rsid w:val="007449F1"/>
    <w:rsid w:val="00745DEC"/>
    <w:rsid w:val="00746248"/>
    <w:rsid w:val="00754636"/>
    <w:rsid w:val="00757C43"/>
    <w:rsid w:val="00761633"/>
    <w:rsid w:val="00762B26"/>
    <w:rsid w:val="007703F5"/>
    <w:rsid w:val="0077312B"/>
    <w:rsid w:val="007740E0"/>
    <w:rsid w:val="007927E2"/>
    <w:rsid w:val="007A0AF3"/>
    <w:rsid w:val="007A1B42"/>
    <w:rsid w:val="007A281D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E723C"/>
    <w:rsid w:val="007F393B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5EAD"/>
    <w:rsid w:val="008421F0"/>
    <w:rsid w:val="00850BE9"/>
    <w:rsid w:val="00850EF4"/>
    <w:rsid w:val="00853A0A"/>
    <w:rsid w:val="00854611"/>
    <w:rsid w:val="00856791"/>
    <w:rsid w:val="00860132"/>
    <w:rsid w:val="00861CAE"/>
    <w:rsid w:val="008712DB"/>
    <w:rsid w:val="00873DD5"/>
    <w:rsid w:val="00877800"/>
    <w:rsid w:val="00880A77"/>
    <w:rsid w:val="00881875"/>
    <w:rsid w:val="00884244"/>
    <w:rsid w:val="00897094"/>
    <w:rsid w:val="00897E4F"/>
    <w:rsid w:val="008A1E7A"/>
    <w:rsid w:val="008A7114"/>
    <w:rsid w:val="008B4A1F"/>
    <w:rsid w:val="008B5BEA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22F3"/>
    <w:rsid w:val="0095440B"/>
    <w:rsid w:val="00960B4D"/>
    <w:rsid w:val="00961671"/>
    <w:rsid w:val="00962A3E"/>
    <w:rsid w:val="009739F4"/>
    <w:rsid w:val="00975323"/>
    <w:rsid w:val="00984971"/>
    <w:rsid w:val="00987DA3"/>
    <w:rsid w:val="00994E0F"/>
    <w:rsid w:val="0099572E"/>
    <w:rsid w:val="009A162C"/>
    <w:rsid w:val="009A64D0"/>
    <w:rsid w:val="009B0688"/>
    <w:rsid w:val="009B449A"/>
    <w:rsid w:val="009B599D"/>
    <w:rsid w:val="009C1184"/>
    <w:rsid w:val="009C137D"/>
    <w:rsid w:val="009C3E3D"/>
    <w:rsid w:val="009C6E3E"/>
    <w:rsid w:val="009E5754"/>
    <w:rsid w:val="009E64C2"/>
    <w:rsid w:val="009E6519"/>
    <w:rsid w:val="009F003A"/>
    <w:rsid w:val="009F2776"/>
    <w:rsid w:val="009F3B07"/>
    <w:rsid w:val="009F6F43"/>
    <w:rsid w:val="00A030EB"/>
    <w:rsid w:val="00A1052A"/>
    <w:rsid w:val="00A1304B"/>
    <w:rsid w:val="00A225CE"/>
    <w:rsid w:val="00A22F09"/>
    <w:rsid w:val="00A2362B"/>
    <w:rsid w:val="00A251A3"/>
    <w:rsid w:val="00A26298"/>
    <w:rsid w:val="00A26CB8"/>
    <w:rsid w:val="00A32B38"/>
    <w:rsid w:val="00A338EA"/>
    <w:rsid w:val="00A343BA"/>
    <w:rsid w:val="00A352F6"/>
    <w:rsid w:val="00A36A0C"/>
    <w:rsid w:val="00A41B15"/>
    <w:rsid w:val="00A4486F"/>
    <w:rsid w:val="00A44D9C"/>
    <w:rsid w:val="00A45D21"/>
    <w:rsid w:val="00A5014E"/>
    <w:rsid w:val="00A528C7"/>
    <w:rsid w:val="00A637BC"/>
    <w:rsid w:val="00A64E8A"/>
    <w:rsid w:val="00A655E6"/>
    <w:rsid w:val="00A67126"/>
    <w:rsid w:val="00A74205"/>
    <w:rsid w:val="00A7555C"/>
    <w:rsid w:val="00A76F8E"/>
    <w:rsid w:val="00A77251"/>
    <w:rsid w:val="00A8092B"/>
    <w:rsid w:val="00A93E6C"/>
    <w:rsid w:val="00A94851"/>
    <w:rsid w:val="00A96CAC"/>
    <w:rsid w:val="00A97B4B"/>
    <w:rsid w:val="00AA5BBD"/>
    <w:rsid w:val="00AB18CF"/>
    <w:rsid w:val="00AB36EF"/>
    <w:rsid w:val="00AB4BB4"/>
    <w:rsid w:val="00AB549C"/>
    <w:rsid w:val="00AD3430"/>
    <w:rsid w:val="00AD46A4"/>
    <w:rsid w:val="00AD48B4"/>
    <w:rsid w:val="00AD6760"/>
    <w:rsid w:val="00AE0EFD"/>
    <w:rsid w:val="00AF2B9F"/>
    <w:rsid w:val="00AF3052"/>
    <w:rsid w:val="00B02612"/>
    <w:rsid w:val="00B12552"/>
    <w:rsid w:val="00B13421"/>
    <w:rsid w:val="00B33D7D"/>
    <w:rsid w:val="00B34B74"/>
    <w:rsid w:val="00B4650B"/>
    <w:rsid w:val="00B47DD1"/>
    <w:rsid w:val="00B53C95"/>
    <w:rsid w:val="00B54B49"/>
    <w:rsid w:val="00B559AB"/>
    <w:rsid w:val="00B56D62"/>
    <w:rsid w:val="00B609FA"/>
    <w:rsid w:val="00B61180"/>
    <w:rsid w:val="00B6475A"/>
    <w:rsid w:val="00B65393"/>
    <w:rsid w:val="00B67EA8"/>
    <w:rsid w:val="00B7109F"/>
    <w:rsid w:val="00B7391E"/>
    <w:rsid w:val="00B91C89"/>
    <w:rsid w:val="00B91DB1"/>
    <w:rsid w:val="00B92872"/>
    <w:rsid w:val="00B95F96"/>
    <w:rsid w:val="00B96466"/>
    <w:rsid w:val="00B97DD5"/>
    <w:rsid w:val="00BA0EDC"/>
    <w:rsid w:val="00BA7CC6"/>
    <w:rsid w:val="00BB50D8"/>
    <w:rsid w:val="00BC246B"/>
    <w:rsid w:val="00BC49A7"/>
    <w:rsid w:val="00BC54CA"/>
    <w:rsid w:val="00BC631E"/>
    <w:rsid w:val="00BD0572"/>
    <w:rsid w:val="00BD3298"/>
    <w:rsid w:val="00BD5367"/>
    <w:rsid w:val="00BD7432"/>
    <w:rsid w:val="00BE0C98"/>
    <w:rsid w:val="00BE54B8"/>
    <w:rsid w:val="00C016EB"/>
    <w:rsid w:val="00C036D6"/>
    <w:rsid w:val="00C116E4"/>
    <w:rsid w:val="00C1183D"/>
    <w:rsid w:val="00C1200F"/>
    <w:rsid w:val="00C14143"/>
    <w:rsid w:val="00C1599F"/>
    <w:rsid w:val="00C179D7"/>
    <w:rsid w:val="00C26673"/>
    <w:rsid w:val="00C33B75"/>
    <w:rsid w:val="00C36E73"/>
    <w:rsid w:val="00C37AFA"/>
    <w:rsid w:val="00C424BD"/>
    <w:rsid w:val="00C55A79"/>
    <w:rsid w:val="00C57418"/>
    <w:rsid w:val="00C620EB"/>
    <w:rsid w:val="00C62788"/>
    <w:rsid w:val="00C62D93"/>
    <w:rsid w:val="00C646BE"/>
    <w:rsid w:val="00C7291D"/>
    <w:rsid w:val="00C74D28"/>
    <w:rsid w:val="00C7611C"/>
    <w:rsid w:val="00C766FA"/>
    <w:rsid w:val="00C82769"/>
    <w:rsid w:val="00C83775"/>
    <w:rsid w:val="00C85AC1"/>
    <w:rsid w:val="00CA4954"/>
    <w:rsid w:val="00CA7575"/>
    <w:rsid w:val="00CB5500"/>
    <w:rsid w:val="00CB707D"/>
    <w:rsid w:val="00CB7DA8"/>
    <w:rsid w:val="00CC09F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1758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5A8D"/>
    <w:rsid w:val="00D87395"/>
    <w:rsid w:val="00D951EA"/>
    <w:rsid w:val="00DA0B9F"/>
    <w:rsid w:val="00DA2503"/>
    <w:rsid w:val="00DA433D"/>
    <w:rsid w:val="00DA522E"/>
    <w:rsid w:val="00DB2E68"/>
    <w:rsid w:val="00DC2572"/>
    <w:rsid w:val="00DC450D"/>
    <w:rsid w:val="00DC5E45"/>
    <w:rsid w:val="00DC67BF"/>
    <w:rsid w:val="00DD11B5"/>
    <w:rsid w:val="00DD2B25"/>
    <w:rsid w:val="00DD532D"/>
    <w:rsid w:val="00DE3F01"/>
    <w:rsid w:val="00DF11DA"/>
    <w:rsid w:val="00DF2EBE"/>
    <w:rsid w:val="00DF6ACB"/>
    <w:rsid w:val="00E017F8"/>
    <w:rsid w:val="00E02214"/>
    <w:rsid w:val="00E037F6"/>
    <w:rsid w:val="00E055DB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5213F"/>
    <w:rsid w:val="00E56AA2"/>
    <w:rsid w:val="00E6114C"/>
    <w:rsid w:val="00E70E1A"/>
    <w:rsid w:val="00E71898"/>
    <w:rsid w:val="00E76363"/>
    <w:rsid w:val="00E80DB9"/>
    <w:rsid w:val="00E855E1"/>
    <w:rsid w:val="00E85C51"/>
    <w:rsid w:val="00E87AFB"/>
    <w:rsid w:val="00E91F96"/>
    <w:rsid w:val="00E9696B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EA1"/>
    <w:rsid w:val="00EF2DBE"/>
    <w:rsid w:val="00EF4811"/>
    <w:rsid w:val="00EF61F2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B11"/>
    <w:rsid w:val="00F55DD0"/>
    <w:rsid w:val="00F56343"/>
    <w:rsid w:val="00F7061C"/>
    <w:rsid w:val="00F73E9A"/>
    <w:rsid w:val="00F74C37"/>
    <w:rsid w:val="00F75B94"/>
    <w:rsid w:val="00F77194"/>
    <w:rsid w:val="00F82048"/>
    <w:rsid w:val="00F854F4"/>
    <w:rsid w:val="00F90C98"/>
    <w:rsid w:val="00F9613F"/>
    <w:rsid w:val="00F972C4"/>
    <w:rsid w:val="00FA037A"/>
    <w:rsid w:val="00FA0ADD"/>
    <w:rsid w:val="00FA52D0"/>
    <w:rsid w:val="00FA53B9"/>
    <w:rsid w:val="00FB0648"/>
    <w:rsid w:val="00FB4ADB"/>
    <w:rsid w:val="00FB55B0"/>
    <w:rsid w:val="00FB608B"/>
    <w:rsid w:val="00FB6888"/>
    <w:rsid w:val="00FB7977"/>
    <w:rsid w:val="00FC4935"/>
    <w:rsid w:val="00FC63E9"/>
    <w:rsid w:val="00FD0711"/>
    <w:rsid w:val="00FD4111"/>
    <w:rsid w:val="00FD54D5"/>
    <w:rsid w:val="00FD5B5D"/>
    <w:rsid w:val="00FE0BA9"/>
    <w:rsid w:val="00FE136D"/>
    <w:rsid w:val="00FF00D9"/>
    <w:rsid w:val="00FF2C91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locked/>
    <w:rsid w:val="006E07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customStyle="1" w:styleId="Heading1Char">
    <w:name w:val="Heading 1 Char"/>
    <w:basedOn w:val="DefaultParagraphFont"/>
    <w:link w:val="Heading1"/>
    <w:rsid w:val="006E07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/>
    </w:rPr>
  </w:style>
  <w:style w:type="paragraph" w:customStyle="1" w:styleId="TableParagraph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ți un document nou." ma:contentTypeScope="" ma:versionID="c4348db7fb29b55bc2041794441a6782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7ebc5c0fadd6a08a6c3878206f68cfb6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9F1401-6F56-4855-96C4-623CDF789108}"/>
</file>

<file path=customXml/itemProps4.xml><?xml version="1.0" encoding="utf-8"?>
<ds:datastoreItem xmlns:ds="http://schemas.openxmlformats.org/officeDocument/2006/customXml" ds:itemID="{84D7BFC1-8B52-4179-8DDF-0DF0735C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1911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6</dc:creator>
  <cp:lastModifiedBy>Dell 6</cp:lastModifiedBy>
  <cp:revision>2</cp:revision>
  <dcterms:created xsi:type="dcterms:W3CDTF">2025-10-23T12:56:00Z</dcterms:created>
  <dcterms:modified xsi:type="dcterms:W3CDTF">2025-10-23T12:56:00Z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